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8C_158/2007 vom 13. November 2007</w:t>
      </w:r>
    </w:p>
    <w:p>
      <w:r>
        <w:t>Bundesgericht, 2007-11-13, DE</w:t>
      </w:r>
    </w:p>
    <w:p>
      <w:r>
        <w:rPr>
          <w:b/>
        </w:rPr>
        <w:t xml:space="preserve">Quelle: </w:t>
      </w:r>
      <w:r>
        <w:t>https://mcp.opencaselaw.ch/entscheid/bger_8C_158_2007</w:t>
      </w:r>
    </w:p>
    <w:p>
      <w:r>
        <w:t>FR: TF 8C_158/2007 du 13 novembre 2007</w:t>
      </w:r>
    </w:p>
    <w:p>
      <w:r>
        <w:t>IT: TF 8C_158/2007 del 13 novembre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Vorinstanz hat die Bestimmungen und Grundsätze über die Leistungspflicht der Unfallversicherung bei unfallähnlichen Körperschädigungen ( Art. 9 Abs. 2 UVV ; BGE 129 V 466 mit Hinweisen) zutreffend dargelegt.</w:t>
      </w:r>
    </w:p>
    <w:p>
      <w:r>
        <w:rPr>
          <w:b/>
        </w:rPr>
        <w:t>E. 3</w:t>
      </w:r>
    </w:p>
    <w:p>
      <w:r>
        <w:t>Ein degenerativer oder pathologischer Vorzustand schliesst eine unfallähnliche Körperschädigung nicht aus, sofern ein unfallähnliches Ereignis den vorbestehenden Gesundheitsschaden verschlimmert oder manifest werden lässt; es genügt somit, wenn eine schädigende, äussere Einwirkung wenigstens im Sinne eines Auslösungsfaktors zu den vor- oder überwiegend krankhaften oder degenerativen Ursachen hinzutritt. Besondere Bedeutung für die Feststellung der Leistungspflicht des Unfallversicherers kommt somit dem Erfordernis eines äusseren Ereignisses, d.h. eines ausserhalb des Körpers liegenden, objektiv feststellbaren, sinnfälligen, eben unfallähnlichen Vorfalles, zu. Wo ein solches äusseres Ereignis mit Einwirkung auf den Körper nicht stattgefunden hat, und sei es nur als Auslöser eines in Art. 9 Abs. 2 lit. a-h UVV aufgezählten Gesundheitsschadens, liegt eine eindeutig krankheits- oder degenerativ bedingte Gesundheitsschädigung vor. Denn ohne dass sich ein Unfallereignis im Sinne von Art. 9 Abs. 1 UVV (in der bis 31. Dezember 2002 geltenden Fassung) bzw. von Art. 4 ATSG ereignet hat, sind bei Eintritt eines der in Art. 9 Abs. 2 lit. a-h UVV aufgezählten Gesundheitsschäden praktisch immer krankheits- und/oder degenerative (Teil-)Ursachen im Spiel ( BGE 129 V 466 E. 2; RKUV 2001 Nr. U 435 S. 332 [U 398/00], je mit Hinweisen).</w:t>
      </w:r>
    </w:p>
    <w:p>
      <w:r>
        <w:rPr>
          <w:b/>
        </w:rPr>
        <w:t>E. 4.1</w:t>
      </w:r>
    </w:p>
    <w:p>
      <w:r>
        <w:t>Vorweg ist festzuhalten, dass es sich beim Ligamentum deltoideum um das Innenknöchelband (Springer Klinisches Wörterbuch, Heidelberg 2007, S. 1058) und entgegen den Ausführungen der Hotela nicht um ein Band im Bereich des oberen Sprunggelenkes handelt. Weiter ist zu beachten, dass Dr. med. W.________ sein Gutachten gestützt auf eine persönliche Untersuchung der Versicherten vom 30. August 2005 erstattete und die Versicherte ihm dabei angab, sie sei seit Anfang Sommer 2004, mithin seit über einem Jahr vor der Begutachtung, wieder beschwerdefrei. Zudem ist zu berücksichtigen, dass Dr. med. W.________ zwar darauf hinweist, die Hotela habe ihm ihre Unterlagen zur Verfügung gestellt, es sich aus dem Gutachten jedoch nicht ergibt, um welche medizinischen Unterlagen es sich dabei handelt. Dr. med. W.________ setzt sich denn auch nicht einlässlich mit der Einschätzung der behandelnden Ärzte auseinander. Somit vermag sein Gutachten nicht die vom Medizinisch-radiologischen Institut Y.________ sowie von Dr. med. K.________ diagnostizierte Bandläsion in Zweifel zu ziehen und es ist von einer Verletzung im Sinne von Art. 9 Abs. 2 lit. g UVV auszugehen.</w:t>
      </w:r>
    </w:p>
    <w:p>
      <w:r>
        <w:rPr>
          <w:b/>
        </w:rPr>
        <w:t>E. 4.2</w:t>
      </w:r>
    </w:p>
    <w:p>
      <w:r>
        <w:t>In der Unfallmeldung vom 5. Januar 2004 gab die Versicherte bezüglich des Hergangs an: "Herabspringen vom Elektromobil". Auf Nachfrage der Hotela beschrieb sie das Ereignis vom 5. Dezember 2003 mit "Herabspringen vom Elektrofahrzeug (ca. 60 cm) auf den linken Fuss. Schmerz und Anschwellen des Fusses". Der erstbehandelnde Dr. med. K.________ hielt im Arztzeugnis vom 23. Januar 2004 fest, die Versicherte sei vom Elektromobil gesprungen und leide unter persistierenden Schmerzen und einer Schwellung des linken Fusses. Mit der Vorinstanz ist deshalb davon auszugehen, dass die Versicherte am 5. Dezember 2003 aus ca. 60 cm Höhe von der Ladefläche eines Elektromobils sprang mit anschliessenden Schmerzen und Schwellung des linken Fusses. Gestützt auf die Rechtsprechung zu vergleichbaren Geschehensabläufen (vgl. RKUV 2001 Nr. U 435 S. 332 [U 398/00] und Urteil U 266/00 vom 21. September 2001) ist dies als äusseres Ereignis, d.h. als ein ausserhalb des Körpers liegender, objektiv feststellbarer, sinnfälliger, eben unfallähnlicher Vorfall zu beurteilen. Damit ist die Hotela leistungspflichtig. Daran ändert auch die allenfalls vorbestehende beidseitige Faciitis plantaris nichts, genügt es doch, dass das unfallähnliche Ereignis Auslöser der Gesundheitsschädigung gemäss Art. 9 Abs. 2 lit. a-h UVV ist (oben E. 3).</w:t>
      </w:r>
    </w:p>
    <w:p>
      <w:r>
        <w:rPr>
          <w:b/>
        </w:rPr>
        <w:t>E. 5.1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dem unterliegenden Unfallversicherer die Gerichtskosten aufzuerlegen sind.</w:t>
      </w:r>
    </w:p>
    <w:p>
      <w:r>
        <w:rPr>
          <w:b/>
        </w:rPr>
        <w:t>E. 5.2</w:t>
      </w:r>
    </w:p>
    <w:p>
      <w:r>
        <w:t>Bereits unter dem alten Recht durften gemäss Art. 156 Abs. 2 OG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97, 208). Er wurde mit geringen sprachlichen Änderungen aus Art. 221 Abs. 4 des Bundesgesetzes über die Organisation der Bundesrechtspflege vom 22. März 1893 übernommen (BBl 1893 I 1107, 1165). Nach der Rechtsprechung hatten Unfallversicherer unter der Herrschaft des OG in Streitigkeiten zwischen Versicherungsträgern über Leistungen aus Unfallfolgen für eine gemeinsam versicherte Person allfällige Gerichtskosten zu tragen ( BGE 126 V 183 E. 6 S. 192 mit Hinweisen).</w:t>
      </w:r>
    </w:p>
    <w:p>
      <w:r>
        <w:rPr>
          <w:b/>
        </w:rPr>
        <w:t>E. 5.3</w:t>
      </w:r>
    </w:p>
    <w:p>
      <w:r>
        <w:t>Die Grundsätze der Kostentragungspflicht vor Bundesgericht ( Art. 66 BGG ) sind weitgehend vom bisherigen Recht übernommen worden (Botschaft des Bundesrates vom 28. Februar 2001, BBl 2001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Art. 66 N 46 ).</w:t>
      </w:r>
    </w:p>
    <w:p>
      <w:r>
        <w:rPr>
          <w:b/>
        </w:rPr>
        <w:t>E. 5.4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5.5</w:t>
      </w:r>
    </w:p>
    <w:p>
      <w:r>
        <w:t>Die Hotela zählt bezüglich ihrer Tätigkeit im Rahmen der obligatorischen Unfallversicherung zu den mit öffentlich-rechtlichen Aufgaben betrauten Organisationen ( Art. 68 UVG ; vgl. für die SUVA Art. 61 ff. UVG , die als öffentlich-rechtliche Anstalt des Bundes jedoch dem Gemeinwesen Bund zuzuordnen ist [Seiler/von Werdt/Güngerich, a.a.O., Art. 66 N 45 ]). Bei Leistungsstreitigkeiten erfüllt sie demnach Aufgaben in ihrem amtlichen Wirkungskreis ( Art. 70 UVG ; vgl. für die SUVA Art. 66 UVG ). Dabei verfolgt sie aber eigene Vermögensinteressen; denn die obligatorische Unfallversicherung finanziert sich durch Prämien, Erträge aus Kapitalanlagen sowie durch Einnahmen aus Regress gegen haftpflichtige Dritte und erhält von der öffentlichen Hand keine Zuschüsse, sodass jeder Versicherungsträger für sein finanzielles Gleichgewicht selbst verantwortlich ist ( Art. 89 ff. UVG , insbesondere Art. 89 Abs. 3 UVG ; vgl. auch Maurer, Schweizerisches Unfallversicherungsrecht, Bern 1985, S. 569 ff. und Seiler/von Werdt/Güngerich, a.a.O., Art. 66 N 54 ). Dies gilt ungeachtet der Leistungsart, da das Vermögen des Versicherers sowohl bei der Ausrichtung von Geld- wie auch von Sachleistungen belastet wird und deshalb ein eigenes Vermögensinteresse zu bejahen ist. Somit fallen die Unfallversicherer im Rahmen der obligatorischen Unfallversicherung nicht unter den Ausnahmetatbestand von Art. 66 Abs. 4 BGG . Die unterliegende Hotela hat daher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