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8C_155/2023 vom 17. März 2023</w:t>
      </w:r>
    </w:p>
    <w:p>
      <w:r>
        <w:t>Bundesgericht, 2023-03-17, DE</w:t>
      </w:r>
    </w:p>
    <w:p>
      <w:r>
        <w:rPr>
          <w:b/>
        </w:rPr>
        <w:t xml:space="preserve">Quelle: </w:t>
      </w:r>
      <w:r>
        <w:t>https://mcp.opencaselaw.ch/entscheid/bger_8C_155_2023</w:t>
      </w:r>
    </w:p>
    <w:p>
      <w:r>
        <w:t>FR: TF 8C_155/2023 du 17 mars 2023</w:t>
      </w:r>
    </w:p>
    <w:p>
      <w:r>
        <w:t>IT: TF 8C_155/2023 del 17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hat mit Beschluss vom 25. Januar 2023 das gegen die Verfügung der Beschwerdegegnerin vom 8. September 2022 angestrengte Beschwerdeverfahren als gegenstandslos geworden von der Geschäftskontrolle abgeschrieben. Dies geschah, weil die Beschwerdegegnerin die angefochtene Verfügung in der Zwischenzeit aufgehoben und eine neue Verfügung in Aussicht gestellt hatte, welche dem Beschwerdeführer wiederum den Rechtsweg eröffne.</w:t>
      </w:r>
    </w:p>
    <w:p>
      <w:r>
        <w:rPr>
          <w:b/>
        </w:rPr>
        <w:t>E. 3</w:t>
      </w:r>
    </w:p>
    <w:p>
      <w:r>
        <w:t>Darauf geht der Beschwerdeführer nicht ansatzweise ein. Insbesondere legt er nicht dar, inwiefern ihm durch diese Vorgehensweise ein Rechtsnachteil erwachsen soll. Lediglich auf den aktuellen Gesundheitszustand zu verweisen, reicht klarerweise nicht aus.</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