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8C_150/2025 vom 27. März 2025</w:t>
      </w:r>
    </w:p>
    <w:p>
      <w:r>
        <w:t>Bundesgericht, 2025-03-27, DE</w:t>
      </w:r>
    </w:p>
    <w:p>
      <w:r>
        <w:rPr>
          <w:b/>
        </w:rPr>
        <w:t xml:space="preserve">Quelle: </w:t>
      </w:r>
      <w:r>
        <w:t>https://mcp.opencaselaw.ch/entscheid/bger_8C_150_2025</w:t>
      </w:r>
    </w:p>
    <w:p>
      <w:r>
        <w:t>FR: TF 8C_150/2025 du 27 mars 2025</w:t>
      </w:r>
    </w:p>
    <w:p>
      <w:r>
        <w:t>IT: TF 8C_150/2025 del 27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13. Februar 2025 auf die am 12. Dezember 2024 gegen den Einspracheentscheid der Beschwerdegegnerin vom 21. November 2024 erhobene Beschwerde nicht ein. Zur Begründung führte es aus, ungeachtet dessen, von wem der angefochtene Einspracheentscheid stamme, beurteile sich gemäss Art. 58 Abs. 1 ATSG die örtliche Zuständigkeit des Gerichtes danach, wo sich der Wohnsitz des Beschwerdeführers zum Zeitpunkt der Beschwerdeerhebung befinde und dies sei vorliegend Ascona, womit die Angelegenheit durch das Versicherungsgericht des Kantons Tessin und nicht durch jenes vom Kanton Luzern zu beurteilen sei. Die Akten seien nach Eintritt der Rechtskraft dieses Urteils an das Tribunale cantonale delle assicurazione des Kantons Tessin zu überweisen.</w:t>
      </w:r>
    </w:p>
    <w:p>
      <w:r>
        <w:rPr>
          <w:b/>
        </w:rPr>
        <w:t>E. 3</w:t>
      </w:r>
    </w:p>
    <w:p>
      <w:r>
        <w:t>Inwiefern die von der Vorinstanz in diesem Zusammenhang getroffenen Sachverhaltsfeststellungen offensichtlich unrichtig (vgl. Art. 97 Abs. 1 BGG ) - mithin willkürlich ( BGE 146 IV 88 E. 1.3.1 f.; 140 III 115 E. 2; je mit Hinweisen) - oder sonstwie bundesrechtswidrig sein sollen, führt der Beschwerdeführer nicht näher aus. Ebenso wenig legt er dar, weshalb die darauf beruhenden Erwägungen gegen Bundesrecht verstossen oder einen anderen Beschwerdegrund (vgl. Art. 95 lit. a-e BGG ) gesetzt haben könnten. Allein den Geschehensablauf zu schildern und eine Gleichbehandlung in der ganzen Schweiz zu fordern, reicht nicht aus. Der Beschwerdeführer scheint im Übrigen die Tragweite des vor Vorinstanz angefochtenen Einspracheentscheids zu verkennen. Zwar stellte die Beschwerdegegnerin darin die bisher ausgerichteten Ergänzungsleistungen zur AHV per 31. Juli 2024 ein. Indessen begründete sie dies allein damit, dass sie sich ab diesem Datum für die Festsetzung und Auszahlung der Ergänzungsleistungen als nicht mehr zuständig erachtete, da sich der Lebensmittelpunkt des Beschwerdeführers schon seit geraumer Zeit im Kanton Tessin befinde. Gemäss Art. 21 ELG ist für die Festsetzung und Auszahlung der Ergänzungsleistungen der Kanton zuständig, in welchem die Bezügerin oder der Bezüger Wohnsitz hat. Der Einspracheentscheid verweigert dem Beschwerdeführer nicht grundsätzlich Ergänzungsleistungen, sondern definiert die Zuständigkeit der hierfür zuständigen Behörde neu.</w:t>
      </w:r>
    </w:p>
    <w:p>
      <w:r>
        <w:rPr>
          <w:b/>
        </w:rPr>
        <w:t>E. 4</w:t>
      </w:r>
    </w:p>
    <w:p>
      <w:r>
        <w:t>Fehlt es offensichtlich an einer hinreichend sachbezogenen Beschwerde,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