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8C_150/2018 vom 8. November 2018</w:t>
      </w:r>
    </w:p>
    <w:p>
      <w:r>
        <w:t>Bundesgericht, 2018-11-08, FR</w:t>
      </w:r>
    </w:p>
    <w:p>
      <w:r>
        <w:rPr>
          <w:b/>
        </w:rPr>
        <w:t xml:space="preserve">Quelle: </w:t>
      </w:r>
      <w:r>
        <w:t>https://mcp.opencaselaw.ch/entscheid/bger_8C_150_2018</w:t>
      </w:r>
    </w:p>
    <w:p>
      <w:r>
        <w:t>FR: TF 8C_150/2018 du 8 novembre 2018</w:t>
      </w:r>
    </w:p>
    <w:p>
      <w:r>
        <w:t>IT: TF 8C_150/2018 del 8 novembre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en principe recevable.</w:t>
      </w:r>
    </w:p>
    <w:p>
      <w:r>
        <w:rPr>
          <w:b/>
        </w:rPr>
        <w:t>E. 2</w:t>
      </w:r>
    </w:p>
    <w:p>
      <w:r>
        <w:t>L'intimée conclut à l'irrecevabilité du recours, au motif que l'argumentation du recourant devant le Tribunal fédéral serait identique à celle développée devant la juridiction cantonale.</w:t>
      </w:r>
    </w:p>
    <w:p>
      <w:r>
        <w:t>Selon la jurisprudence, il doit exister un lien entre la motivation du recours et la décision attaquée. La partie recourante doit se déterminer par rapport aux considérants de l'arrêt entrepris; elle ne peut se contenter de reprendre presque mot pour mot l'argumentation formée devant l'autorité cantonale ( ATF 140 III 86 consid. 2 p. 89; 134 II 244 consid. 2.1 et 2.3). En l'occurrence, l'argumentation développée en page 8 du recours en matière de droit public adressé au Tribunal fédéral ne se retrouve pas dans l'acte de recours formé devant la juridiction cantonale. Partant, il y a lieu d'admettre que la motivation répond, en partie tout au moins, aux exigences requises.</w:t>
      </w:r>
    </w:p>
    <w:p>
      <w:r>
        <w:rPr>
          <w:b/>
        </w:rPr>
        <w:t>E. 3.1</w:t>
      </w:r>
    </w:p>
    <w:p>
      <w:r>
        <w:t>Le litige porte sur le droit du recourant à la prise en charge par l'intimée des suites de la lésion survenue le 9 septembre 2014.</w:t>
      </w:r>
    </w:p>
    <w:p>
      <w:r>
        <w:rPr>
          <w:b/>
        </w:rPr>
        <w:t>E. 3.2</w:t>
      </w:r>
    </w:p>
    <w:p>
      <w:r>
        <w:t>Le 1</w:t>
      </w:r>
    </w:p>
    <w:p>
      <w:r>
        <w:t>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3.3</w:t>
      </w:r>
    </w:p>
    <w:p>
      <w:r>
        <w:t>Lorsque, comme en l'espèce, le jugement entrepris porte sur des prestations en espèces et en nature de l'assurance-accidents, le Tribunal fédéral dispose d'un pouvoir d'examen étendu en ce qui concerne les faits communs aux deux types de prestations (cf. SVR 2011 UV n° 1 p. 2 s., arrêt 8C_584/2009 du 2 juillet 2010 consid. 4).</w:t>
      </w:r>
    </w:p>
    <w:p>
      <w:r>
        <w:rPr>
          <w:b/>
        </w:rPr>
        <w:t>E. 4.1</w:t>
      </w:r>
    </w:p>
    <w:p>
      <w:r>
        <w:t>En l'espèce, il n'est pas contesté que l'événement survenu le 9 septembre 2014 ne constitue pas un accident au sens de l' art. 4 LPGA , faute de facteur extérieur extraordinaire. Par conséquent, pour que l'intimée soit tenue de prendre en charge les suites qui en découlent, il faut que l'on se trouve en présence d'une lésion assimilée à un accident ( art. 9 al. 2 OLAA en lien avec l' art. 6 al. 2 LAA ). Le jugement cantonal expose correctement les dispositions légale et réglementaire précitées. Il suffit d'y renvoyer.</w:t>
      </w:r>
    </w:p>
    <w:p>
      <w:r>
        <w:rPr>
          <w:b/>
        </w:rPr>
        <w:t>E. 4.2</w:t>
      </w:r>
    </w:p>
    <w:p>
      <w:r>
        <w:t>Il n'est pas non plus contesté que l'atteinte au niveau de l'épaule présentée par le recourant constitue une déchirure de tendon tombant sous le coup de l' art. 9 al. 2 let . f OLAA. La jurisprudence ( ATF 143 V 285 ; 139 V 327 ;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 ATF 129 V 466 consid. 4.2.1 p. 469).</w:t>
      </w:r>
    </w:p>
    <w:p>
      <w:r>
        <w:t>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 ATF 143 V 285 consid. 2.3 p. 288; 139 V 327 consid. 3.3.1 p. 329). C'est la raison pour laquelle les douleurs identifiées comme étant les symptômes de lésions corporelles au sens de celles énumérées à l' 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 ATF 129 V 466 consid. 4.2.2 p. 470).</w:t>
      </w:r>
    </w:p>
    <w:p>
      <w:r>
        <w:rPr>
          <w:b/>
        </w:rPr>
        <w:t>E. 5.1</w:t>
      </w:r>
    </w:p>
    <w:p>
      <w:r>
        <w:t>Selon la juridiction cantonale, les efforts qu'a fournis le recourant le 9 septembre 2014 étaient volontaires et sans perte de maîtrise, de sorte qu'ils ne pouvaient être considérés comme manifestement excessifs pour un homme habitué à ce type d'exercices. Ce dernier ne prétendait par ailleurs pas avoir fait un faux mouvement ou un mouvement non coordonné par exemple. Selon les premiers juges, les efforts exercés sur les tendons ne constituent pas, à eux seuls, une cause dommageable extérieure en l'absence d'un risque pour le moins accru - absent en l'occurrence - en regard d'une sollicitation normale de l'organisme. Aussi, en l'absence d'une cause extérieure externe au corps humain d'une certaine importance, les troubles constatés ne pouvaient être mis à la charge de l'assureur-accidents.</w:t>
      </w:r>
    </w:p>
    <w:p>
      <w:r>
        <w:rPr>
          <w:b/>
        </w:rPr>
        <w:t>E. 5.2</w:t>
      </w:r>
    </w:p>
    <w:p>
      <w:r>
        <w:t>Le recourant fait valoir que le port de charges (poids) dans le cadre d'exercices de musculation ne saurait être considéré comme une sollicitation normale de l'organisme mais constituerait un potentiel de lésion accru sur le corps humain. Il se réfère notamment à deux arrêts (SVR 2014 UV n° 29 p. 97, 8C_40/2014 du 8 mai 2014 et SVR 2016 UV n° 5 p. 13, 8C_295/2015 du 8 septembre 2015) dans lesquels le Tribunal fédéral a reconnu un risque de lésion accru dans les activités sportives respectives.</w:t>
      </w:r>
    </w:p>
    <w:p>
      <w:r>
        <w:rPr>
          <w:b/>
        </w:rPr>
        <w:t>E. 6.1</w:t>
      </w:r>
    </w:p>
    <w:p>
      <w:r>
        <w:t>Il est vrai, comme l'admet le recourant lui-même, qu'on ne saurait se fonder sur la seule pratique d'une activité sportive pour justifier un potentiel de danger accru (cf. arrêt 8C_147/2014 du 16 juillet 2014, consid. 3.3). Admettre le contraire signifierait que la même séquence de mouvements devrait être jugée différemment selon qu'elle aurait eu lieu au cours d'une randonnée pédestre par exemple, ou pendant un match de boxe. Néanmoins, les circonstances spécifiques de l'activité à l'origine de la douleur doivent également être prises en compte, car dans certains cas il n'est guère possible de déterminer avec précision quel mouvement effectif a réellement déclenché la lésion. Même s'il y a lieu d'admettre une situation de risque généralement plus élevé dans de nombreuses activités sportives, un facteur externe avec un potentiel de danger accru n'est présent que si l'activité en question est associée à une sollicitation physiologiquement plus élevée que la normale et dépasse ce qui est normalement maîtrisé du point de vue psychologique (voir consid. 4.2 supra).</w:t>
      </w:r>
    </w:p>
    <w:p>
      <w:r>
        <w:rPr>
          <w:b/>
        </w:rPr>
        <w:t>E. 6.2</w:t>
      </w:r>
    </w:p>
    <w:p>
      <w:r>
        <w:t>Dans l'arrêt 8C_40/2014 précité, le Tribunal fédéral a admis l'obligation de prise en charge par l'assureur-accidents d'une lésion assimilée à un accident survenue lors d'un saut depuis la position accroupie ("Squat-Jumpig"), en raison de l'effort déployé et du changement permanent et rapide de charge lors des séquences de mouvements dans leur ensemble. Dans l'arrêt 8C_295/2015 déjà mentionné également, la personne assurée a subi une rupture du ménisque lors d'un entraînement au cours duquel elle sautait sur une jambe et donnait des coups de genou avec l'autre jambe dans le but de frapper un adversaire, en l'occurrence son entraîneur de fitness, qui se protégeait avec des gants. Selon le Tribunal fédéral, le procédé était comparable à celui d'un exercice d'auto-défense avec un partenaire ou de la pratique dite du "Squat-Jumping" (cf. SVR 2014 UV n° 30 p. 100, 8C_147/2014 du 16 juillet 2014, consid. 3.5).</w:t>
      </w:r>
    </w:p>
    <w:p>
      <w:r>
        <w:rPr>
          <w:b/>
        </w:rPr>
        <w:t>E. 6.3</w:t>
      </w:r>
    </w:p>
    <w:p>
      <w:r>
        <w:t>En l'occurrence, que ce soit dans la déclaration d'accident du 26 mai 2015 ou dans le questionnaire détaillé rempli 16 juin 2015, le recourant n'a signalé aucun mouvement incontrôlé, trébuchement, faux pas, faux mouvement, etc. Il a indiqué avoir ressenti une vive douleur, d'un coup, en faisant de la musculation chez lui. L'apparition de la douleur en tant que telle n'est pas un facteur extérieur dommageable. Contrairement aux exemples cités plus haut, la musculation ne comporte pas de mouvements brusques, saccadés et incontrôlés, mais plutôt une séquence de mouvements réguliers dans le cadre d'une sollicitation du corps physiologiquement normale et maîtrisée du point de vue psychologique.</w:t>
      </w:r>
    </w:p>
    <w:p>
      <w:r>
        <w:rPr>
          <w:b/>
        </w:rPr>
        <w:t>E. 6.4</w:t>
      </w:r>
    </w:p>
    <w:p>
      <w:r>
        <w:t>Vu ce qui précède, c'est à raison que les juges cantonaux ont conclu que la déchirure du tendon de l'épaule droite survenue le 9 septembre 2014 ne constituait pas une lésion corporelle assimilée à un accident à la charge de l'assureur-accident. Le recours se révèle mal fondé.</w:t>
      </w:r>
    </w:p>
    <w:p>
      <w:r>
        <w:rPr>
          <w:b/>
        </w:rPr>
        <w:t>E. 7</w:t>
      </w:r>
    </w:p>
    <w:p>
      <w:r>
        <w:t>Vu l'issue du litige,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