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150/2013 vom 23. September 2013</w:t>
      </w:r>
    </w:p>
    <w:p>
      <w:r>
        <w:t>Bundesgericht, 2013-09-23, FR</w:t>
      </w:r>
    </w:p>
    <w:p>
      <w:r>
        <w:rPr>
          <w:b/>
        </w:rPr>
        <w:t xml:space="preserve">Quelle: </w:t>
      </w:r>
      <w:r>
        <w:t>https://mcp.opencaselaw.ch/entscheid/bger_8C_150_2013</w:t>
      </w:r>
    </w:p>
    <w:p>
      <w:r>
        <w:t>FR: TF 8C 150/2013 du 23 septembre 2013</w:t>
      </w:r>
    </w:p>
    <w:p>
      <w:r>
        <w:t>IT: TF 8C 150/2013 del 23 settembre 2013</w:t>
      </w:r>
    </w:p>
    <w:p>
      <w:pPr>
        <w:pStyle w:val="Heading2"/>
      </w:pPr>
      <w:r>
        <w:t>Regeste</w:t>
      </w:r>
    </w:p>
    <w:p>
      <w:r>
        <w:t>Assurance-accidents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en principe sur la base des faits retenus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w:t>
      </w:r>
    </w:p>
    <w:p>
      <w:r>
        <w:rPr>
          <w:b/>
        </w:rPr>
        <w:t>E. 2</w:t>
      </w:r>
    </w:p>
    <w:p>
      <w:r>
        <w:t>A l'instar de l'OAI, la juridiction cantonale a suivi les conclusions de l'expertise du docteur U.________. Elle a ainsi retenu que l'état de santé de A.________ était compatible avec l'exercice d'une activité adaptée à 80 %. Pour fixer son taux d'invalidité, les premiers juges ont retenu un revenu sans invalidité de 77'480 fr. et un revenu d'invalide de 37'515 fr. Pour calculer ce dernier, ils se sont référés aux données salariales statistiques ressortant de l'Enquête suisse sur la structure des salaires [ESS] valables en 2008, singulièrement au salaire obtenu par les hommes exerçant une activité simple et répétitive (niveau de qualification 4) dans le secteur privé pour un horaire hebdomadaire de travail de 41,6 heures, indexé jusqu'en 2010 (année déterminante pour le droit à la rente). Ils ont encore réduit ce salaire de 25 % pour tenir compte des limitations fonctionnelles et du manque de formation de l'assuré. Il en résultait un degré d'invalidité de 52 %, lequel ouvrait droit à une demi-rente d'invalidité.</w:t>
      </w:r>
    </w:p>
    <w:p>
      <w:r>
        <w:rPr>
          <w:b/>
        </w:rPr>
        <w:t>E. 3.1</w:t>
      </w:r>
    </w:p>
    <w:p>
      <w:r>
        <w:t>Le recourant conteste le revenu d'invalide pris en considération pour évaluer son taux d'invalidité. Il estime qu'au vu de ses importantes limitations fonctionnelles, de son âge, son manque de formation ainsi que ses difficultés linguistiques, on ne saurait raisonnablement exiger de lui qu'il reprenne un quelconque emploi.</w:t>
      </w:r>
    </w:p>
    <w:p>
      <w:r>
        <w:rPr>
          <w:b/>
        </w:rPr>
        <w:t>E. 3.2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w:t>
      </w:r>
    </w:p>
    <w:p>
      <w:r>
        <w:rPr>
          <w:b/>
        </w:rPr>
        <w:t>E. 3.3</w:t>
      </w:r>
    </w:p>
    <w:p>
      <w:r>
        <w:t>Dans le cas particulier, le tribunal cantonal a appliqué de manière correcte la jurisprudence du Tribunal fédéral et, partant, n'a pas violé le droit fédéral. Compte tenu du contexte personnel et professionnel, la mise en valeur par le recourant d'une capacité de travail de 80 % dans une activité adaptée à son état de santé est en effet objectivement exigible. Agé de 57 ans au moment de la naissance du droit à la rente, il n'avait pas encore atteint l'âge à partir duquel la jurisprudence considère généralement qu'il n'existe plus de possibilité réaliste de mise en valeur de la capacité résiduelle de travail sur un marché du travail supposé équilibré. Au demeurant, il convient d'admettre que ledit marché du travail offre un éventail suffisamment large d'activités légères, dont un nombre significatif sont adaptées aux limitations fonctionnelles du recourant et accessibles sans aucune formation particulière. En procédant par ailleurs à l'abattement maximal de 25 % ( ATF 134 V 322 consid. 5.2 p. 328), l'OAI a suffisamment tenu compte des limitations liées au handicap et à l'absence de formation professionnelle. Quant aux difficultés linguistiques alléguées, on relèvera que le docteur U.________ a fait état, comme facteurs de bon pronostic, d'une maîtrise du français et d'une bonne intelligence du recourant (cf. expertise du 18 octobre 2010, p. 13).</w:t>
      </w:r>
    </w:p>
    <w:p>
      <w:r>
        <w:rPr>
          <w:b/>
        </w:rPr>
        <w:t>E. 4</w:t>
      </w:r>
    </w:p>
    <w:p>
      <w:r>
        <w:t>Mal fondé, le recours doit être rejeté. 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