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8C_14/2026 vom 2. März 2026</w:t>
      </w:r>
    </w:p>
    <w:p>
      <w:r>
        <w:t>Bundesgericht, 2026-03-02, DE</w:t>
      </w:r>
    </w:p>
    <w:p>
      <w:r>
        <w:rPr>
          <w:b/>
        </w:rPr>
        <w:t xml:space="preserve">Quelle: </w:t>
      </w:r>
      <w:r>
        <w:t>https://mcp.opencaselaw.ch/entscheid/bger_8C_14_2026</w:t>
      </w:r>
    </w:p>
    <w:p>
      <w:r>
        <w:t>FR: TF 8C_14/2026 du 2 mars 2026</w:t>
      </w:r>
    </w:p>
    <w:p>
      <w:r>
        <w:t>IT: TF 8C_14/2026 del 2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Urteil vom 21. November 2025 den Einspracheentscheid der Beschwerdegegnerin vom 3. Dezember 2024, mit welchem die Beschwerdeführerin zur Rückerstattung zuviel bezogener Taggelder von Fr. 5'390.30 verpflichtet wurde. Zur Begründung hielt es im Wesentlichen fest, mit Urteil vom 6. Juni 2024 habe das Sozialversicherungsgericht erwogen, die Tätigkeit bei der B.________ GmbH sei nicht als Nebenerwerbstätigkeit zu qualifizieren, da die Beschwerdeführerin mit dieser Tätigkeit und der gekündigten Stelle zusammen nie dem Umfang einer Vollzeitstelle überschritten habe. So lange sie in der Lage sei, die zweite Tätigkeit innerhalb der normalen Arbeitszeit zu verrichten, liege keine Nebenbeschäftigung vor, unabhängig davon, aus welchem Grund sie diese Tätigkeit aufgenommen habe und zu welcher Tageszeit sie diese Tätigkeit ausübe. Für die Berechnung des versicherten Verdienstes der zweiten Rahmenfrist für den Leistungsbezug seien die Einkommen in den sechs bzw. zwölf Monaten vor dem 1. Januar 2023 massgebend gewesen. Die Beschwerdegegnerin habe indessen zur Ermittlung des versicherten Verdienstes die zwölf Monatseinkommen vor dem 1. Oktober 2022 herangezogen. Allein schon dies stelle eine unrichtige Rechtsanwendung dar, die mittels Wiedererwägung gemäss Art. 53 Abs. 2 ATSG zu korrigieren sei. Die Beschwerdegegnerin habe zu Recht die letzten zwölf vor Beginn der Rahmenfrist liegenden Monate berücksichtigt, da dies einen höheren versicherten Verdienst ergebe, als wenn auf sechs Monate abgestellt worden wäre. Dies ergebe einen versicherten Jahresverdienst von Fr. 26'304.- bzw. von monatlich Fr. 2'192.-.</w:t>
      </w:r>
    </w:p>
    <w:p>
      <w:r>
        <w:rPr>
          <w:b/>
        </w:rPr>
        <w:t>E. 3</w:t>
      </w:r>
    </w:p>
    <w:p>
      <w:r>
        <w:t>Die Ausführungen in der Beschwerde erschöpfen sich in einer letztinstanzlich unzulässigen appellatorischen Kritik. Allein die bereits vor Vorinstanz vorgetragenen Einwände zu wiederholen und zu behaupten, das kantonale Gericht habe sich damit nicht hinreichend auseinandergesetzt, ohne auf das im angefochtenen Urteil dazu Erwogene näher einzugehen, reicht nicht aus. Genauso wenig ist mit dem Verweis auf eine fehlende Pflichtwidrigkeit gegenüber der Beschwerdegegnerin den Begründungsanforderungen nach Art. 42 Abs. 2 BGG Genüge getan. Inwiefern die fehlende Pflichtwidrigkeit für die Frage nach der Rechtmässigkeit der Rückerstattungsforderung von Belang sein soll, ist damit weder aufgezeigt noch ersichtlich.</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