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8C_14/2025 vom 29. Januar 2025</w:t>
      </w:r>
    </w:p>
    <w:p>
      <w:r>
        <w:t>Bundesgericht, 2025-01-29, DE</w:t>
      </w:r>
    </w:p>
    <w:p>
      <w:r>
        <w:rPr>
          <w:b/>
        </w:rPr>
        <w:t xml:space="preserve">Quelle: </w:t>
      </w:r>
      <w:r>
        <w:t>https://mcp.opencaselaw.ch/entscheid/bger_8C_14_2025</w:t>
      </w:r>
    </w:p>
    <w:p>
      <w:r>
        <w:t>FR: TF 8C_14/2025 du 29 janvier 2025</w:t>
      </w:r>
    </w:p>
    <w:p>
      <w:r>
        <w:t>IT: TF 8C_14/2025 del 29 gennaio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Es ist anhand der massgeblichen Erwägungen klar und detailliert darzulegen, welche verfassungsmässigen Rechte und inwiefern sie durch dieses Urteil verletzt sein sollen. Ist ein Nichteintretensurteil angefochten, setzt dies eine spezifische Auseinandersetzung mit den Nichteintretensgründen voraus ( BGE 123 V 335 ).</w:t>
      </w:r>
    </w:p>
    <w:p>
      <w:r>
        <w:rPr>
          <w:b/>
        </w:rPr>
        <w:t>E. 2</w:t>
      </w:r>
    </w:p>
    <w:p>
      <w:r>
        <w:t>Das kantonale Gericht bestätigte mit Urteil vom 21. November 2024 die von der Beschwerdegegnerin per 1. September 2022 verfügte Einstellung der wirtschaftlichen Hilfe mangels zumutbarer Mitwirkung bei der Erhebung des zur Bedürftigkeitsbestimmung Erforderlichen.</w:t>
      </w:r>
    </w:p>
    <w:p>
      <w:r>
        <w:rPr>
          <w:b/>
        </w:rPr>
        <w:t>E. 3</w:t>
      </w:r>
    </w:p>
    <w:p>
      <w:r>
        <w:t>Die Ausführungen in der Beschwerde erschöpfen sich in einer letztinstanzlich unzulässigen appellatorischen Kritik an der vorinstanzlichen Beweiswürdigung. Inwiefern das kantonale Gericht mit offensichtlich unrichtigen oder unvollständigen Feststellungen in Willkür verfallen sein (dazu Näheres: BGE 146 IV 88 E. 1.3.1 f. und 140 III 115 E. 2; je mit Hinweisen) oder einen anderen Beschwerdegrund ( Art. 95 ff. BGG ) gesetzt haben soll, legt der Beschwerdeführer nicht dar. Dies lediglich zu behaupten, reicht nicht aus.</w:t>
      </w:r>
    </w:p>
    <w:p>
      <w:r>
        <w:rPr>
          <w:b/>
        </w:rPr>
        <w:t>E. 4</w:t>
      </w:r>
    </w:p>
    <w:p>
      <w:r>
        <w:t>Liegt offensichtlich keine hinreichend sachbezogen begründete Beschwerde vor, so führt dies zu einem Nichteintreten im vereinfachten Verfahren nach Art. 108 Abs. 1 lit. b BGG .</w:t>
      </w:r>
    </w:p>
    <w:p>
      <w:r>
        <w:rPr>
          <w:b/>
        </w:rPr>
        <w:t>E. 5</w:t>
      </w:r>
    </w:p>
    <w:p>
      <w:r>
        <w:t>Das in der Beschwerde gestellte Gesuch um unentgeltliche Rechtspflege ist wegen aussichtsloser Beschwerdeführung abzuweisen ( Art. 64 Abs. 1 BGG ). In Anwendung von Art. 66 Abs. 1 Satz 2 BGG kann jedoch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