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8C_149/2012 vom 16. Mai 2012</w:t>
      </w:r>
    </w:p>
    <w:p>
      <w:r>
        <w:t>Bundesgericht, 2012-05-16, DE</w:t>
      </w:r>
    </w:p>
    <w:p>
      <w:r>
        <w:rPr>
          <w:b/>
        </w:rPr>
        <w:t xml:space="preserve">Quelle: </w:t>
      </w:r>
      <w:r>
        <w:t>https://mcp.opencaselaw.ch/entscheid/bger_8C_149_2012</w:t>
      </w:r>
    </w:p>
    <w:p>
      <w:r>
        <w:t>FR: TF 8C_149/2012 du 16 mai 2012</w:t>
      </w:r>
    </w:p>
    <w:p>
      <w:r>
        <w:t>IT: TF 8C_149/2012 del 16 maggio 2012</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2.1</w:t>
      </w:r>
    </w:p>
    <w:p>
      <w:r>
        <w:t>Streitig und zu prüfen ist das der Bestimmung des Invaliditätsgrades zugrunde zu legende hypothetische Invalideneinkommen ( Art. 16 ATSG ; BGE 129 V 28 E. 1 S. 30 mit Hinweisen), das die SUVA mit dem vorinstanzlich bestätigten Einspracheentscheid vom 14. Oktober 2010 anhand der Angaben aus der Dokumentation über die Arbeitsplätze (DAP) auf Fr. 60'993.- festlegte. Der Beschwerdeführer stellt nicht in Frage, dass die erhobenen Angaben aus der DAP den Erfordernissen gemäss BGE 129 V 472 genügen und die fünf Arbeitsplatzbeschriebe mit der bestehenden körperlichen Behinderung (erhebliche Funktionseinschränkung des rechten Schultergelenks) und dem von Dr. med. W.________, FMH für Chirurgie, Kreisarzt, SUVA, mit Nachtrag vom 10. Februar 2010 zur kreisärztlichen Abschlussuntersuchung vom 12. Januar 2010 umschriebenen Zumutbarkeitsprofil vereinbar sind. Er macht aber geltend, dass sein Leistungsvermögen auch bei Vollzeitbeschäftigung in einer der aus der DAP ausgewählten Arbeitsgelegenheit eingeschränkt sei, weswegen er im Vergleich zu gesunden und jüngeren Arbeitnehmern mit Lohnnachteilen zu rechnen habe.</w:t>
      </w:r>
    </w:p>
    <w:p>
      <w:r>
        <w:rPr>
          <w:b/>
        </w:rPr>
        <w:t>E. 2.2</w:t>
      </w:r>
    </w:p>
    <w:p>
      <w:r>
        <w:t>Der Beschwerdeführer übersieht, dass nach der Rechtsprechung das hypothetische Invalideneinkommen nur gekürzt werden kann, wenn es anhand der Tabellenlöhne der Schweizerischen Lohnstrukturerhebung (LSE) des Bundesamtes für Statistik ermittelt wird.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dem ausgeglichenen Arbeitsmarkt nur mit unterdurchschnittlichem Erfolg verwerten kann ( BGE 126 V 75 E. 5b/aa in fine S. 80). Wird das hypothetische Invalideneinkommen jedoch aufgrund der DAP ermittelt, sind Abzüge gemäss BGE 126 V 75 nicht sachgerecht ( BGE 129 V 472 E. 4.2.3 S. 482). In der DAP werden - im Gegensatz zu den LSE - tatsächlich vorhandene, konkrete Arbeitsplätze beschrieben, was eine differenzierte Zuweisung von zumutbaren Tätigkeiten unter Berücksichtigung der behinderungsbedingten Einschränkungen sowie weiterer persönlicher und beruflicher Umstände ermöglicht (vgl. STEFAN DETTWILER, SUVA "DAP"t nicht im Dunkeln, in SZS 50/2006 S. 6ff.; BGE 129 V 472 E. 4.2.1 S. 475 ff.). Sind, wie vorliegend, die Voraussetzungen gemäss BGE 129 V 472 erfüllt, ist grundsätzlich davon auszugehen, dass die versicherte Person an den fünf aus der DAP ausgewählten Arbeitsstellen die Löhne zu erzielen vermöchte, die dem Mittel der angegeben Minimal- und Maximalwerte entsprechen (Urteil 8C_72/2008 vom 26. Juni 2008 E. 5.2 mit Hinweisen). Davon abzuweichen, besteht kein Anlass.</w:t>
      </w:r>
    </w:p>
    <w:p>
      <w:r>
        <w:rPr>
          <w:b/>
        </w:rPr>
        <w:t>E. 3</w:t>
      </w:r>
    </w:p>
    <w:p>
      <w:r>
        <w:t>Die offensichtlich unbegründete Beschwerde wird im vereinfachten Verfahren nach Art. 109 Abs. 1 lit. a BGG - ohne Durchführung des Schriftenwechsels, mit summarischer Begründung und unter Verweis auf den kantonalen Entscheid (Art. 102 Abs. 1 und 109 Abs. 3 BGG) - erledigt.</w:t>
      </w:r>
    </w:p>
    <w:p>
      <w:r>
        <w:rPr>
          <w:b/>
        </w:rPr>
        <w:t>E. 4</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