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8C_149/2010 vom 30. November 2010</w:t>
      </w:r>
    </w:p>
    <w:p>
      <w:r>
        <w:t>Bundesgericht, 2010-11-30, FR</w:t>
      </w:r>
    </w:p>
    <w:p>
      <w:r>
        <w:rPr>
          <w:b/>
        </w:rPr>
        <w:t xml:space="preserve">Quelle: </w:t>
      </w:r>
      <w:r>
        <w:t>https://mcp.opencaselaw.ch/entscheid/bger_8C_149_2010</w:t>
      </w:r>
    </w:p>
    <w:p>
      <w:r>
        <w:t>FR: TF 8C_149/2010 du 30 novembre 2010</w:t>
      </w:r>
    </w:p>
    <w:p>
      <w:r>
        <w:t>IT: TF 8C_149/2010 del 30 novembre 2010</w:t>
      </w:r>
    </w:p>
    <w:p>
      <w:pPr>
        <w:pStyle w:val="Heading2"/>
      </w:pPr>
      <w:r>
        <w:t>Erwägungen</w:t>
      </w:r>
    </w:p>
    <w:p>
      <w:r>
        <w:rPr>
          <w:b/>
        </w:rPr>
        <w:t>E. 1</w:t>
      </w:r>
    </w:p>
    <w:p>
      <w:r>
        <w:t>Le litige porte sur le point de savoir si la Nationale était fondée, par sa décision sur opposition du 11 mai 2007, à refuser d'allouer ses presta-tions pour les troubles annoncés le 17 mars 2005, lesquels ont donné lieu à une intervention chirurgicale le 18 janvier 2006 et entraîné une incapacité de travail jusqu'au 31 mars 2006.</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 8C_584/ 2009 du 2 juillet 2010 consid. 4).</w:t>
      </w:r>
    </w:p>
    <w:p>
      <w:r>
        <w:rPr>
          <w:b/>
        </w:rPr>
        <w:t>E. 2</w:t>
      </w:r>
    </w:p>
    <w:p>
      <w:r>
        <w:t>La décision attaquée pouvant faire l'objet d'un recours en matière de droit public selon les art. 82 ss LTF , le recours constitutionnel subsi-diaire est irrecevable ( art. 113 LTF ), étant d'ailleurs précisé que le droit fédéral dont la violation peut être invoquée à l'appui d'un recours en matière de droit public ( art. 95 let. a LTF ) comprend les droits constitutionnels ( ATF 133 III 446 consid. 3.1 p. 447, 462 consid. 2.3 p. 466).</w:t>
      </w:r>
    </w:p>
    <w:p>
      <w:r>
        <w:rPr>
          <w:b/>
        </w:rPr>
        <w:t>E. 3</w:t>
      </w:r>
    </w:p>
    <w:p>
      <w:r>
        <w:t>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(RAMA 1997 no U 275 p. 191 consid. 1c).</w:t>
      </w:r>
    </w:p>
    <w:p>
      <w:r>
        <w:rPr>
          <w:b/>
        </w:rPr>
        <w:t>E. 4</w:t>
      </w:r>
    </w:p>
    <w:p>
      <w:r>
        <w:t>La recourante reproche à la juridiction cantonale d'avoir retenu que l'évaluation du docteur Z.________ est objectivement mieux fondée que celle du docteur K.________ alors qu'il existe plusieurs arguments médicaux au dossier permettant de mettre en cause l'avis du médecin-conseil. En 1995, le docteur S.________ pose le diagnostic différentiel de rupture partielle de la coiffe des rotateurs. En 1997, cette rupture est visible sur l'IRM et le docteur W.________ attribue le syndrome d'impingement à l'accident de 1994. En 2005, une rupture totale du sus-épineux est constatée et le docteur K.________ fait clairement un lien entre cette évolution de l'atteinte et le traumatisme initial. Le caractère plutôt mineur de l'accident et le fait qu'elle présente aussi des lésions dégénératives à l'épaule droite ne permettent pas de nier ce lien de causalité. A tout le moins, conclut la recourante, une expertise est nécessaire pour trancher le litige.</w:t>
      </w:r>
    </w:p>
    <w:p>
      <w:r>
        <w:rPr>
          <w:b/>
        </w:rPr>
        <w:t>E. 5</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6</w:t>
      </w:r>
    </w:p>
    <w:p>
      <w:r>
        <w:t>On se trouve, en l'occurrence, dans la situation où il appartient à un expert de départager l'opinion du médecin-conseil de l'assureur-accidents de celle du médecin traitant de l'assurée. En effet, les deux avis sont étayés sur des éléments médicaux objectifs tout en aboutissant à des conclusions opposées sur la question de la causalité. Cette divergence résulte notamment de l'interprétation différente que les deux médecins font du diagnostic initial posé par le docteur S.________ et du cliché IRM de 1997. Ainsi, pour le docteur Z.________, l'accident de 1994 n'a causé aucune séquelle post-traumatique objectivable et l'IRM met en évidence un conflit sous-acromonial dont l'évolution habituelle est une rupture tendineuse du muscle sus-épineux. En outre, l'assurée a eu une longue période asymptomatique. Il en conclut qu'il existe une relation de causalité seulement possible entre l'accident et le début de la rupture tendineuse constatée en 1997, respectivement la rupture complète diagnostiquée en 2005, ces lésions étant «plus probablement» à mettre en relation avec des troubles dégénératifs consécutifs au conflit sous-acromonial. A l'inverse, le docteur K.________ retient que la rupture partielle visible sur l'IRM de 1997 est une conséquence de l'événement de 1994 qui a initialement causé, selon lui, une rupture très peu rétractée du tendon sus-épineux. Il considère que «l'élément traumatique» est nettement au premier plan même si l'existence d'un conflit sous-acromonial a pu contribuer à l'agrandissement de la rupture observée en 2005, d'autant que l'assurée est asymptomatique du côté contro-latéral.</w:t>
      </w:r>
    </w:p>
    <w:p>
      <w:r>
        <w:t>On peut encore ajouter que les renseignements médicaux recueillis à l'occasion de la première rechute (en 1996) sont tout aussi contradic-toires, de sorte qu'il apparaît difficile, sans le concours d'un expert, de se faire une opinion sur le point de savoir si la rupture totale du sus-épineux diagnostiquée en 2005 peut, de manière crédible, être impu-tée à l'événement accidentel de 1994 ou si la relation de causalité apparaît possible mais qu'elle ne peut pas être qualifiée de probable dans le cas particulier ( ATF 129 V 177 consid. 3.1 p. 181; 119 V 335 consid. 1 p. 338, et les références).</w:t>
      </w:r>
    </w:p>
    <w:p>
      <w:r>
        <w:t>Dans ces conditions, il subsiste suffisamment de doutes sur la question litigieuse pour qu'une instruction complémentaire au sens de la jurisprudence précitée (cf. consid. 5 supra) s'impose. La conclusion subsidiaire du recours se révèle bien fondée et la cause sera renvoyée à la Nationale afin qu'elle mette en oeuvre une expertise au sens de l' art. 44 LPGA .</w:t>
      </w:r>
    </w:p>
    <w:p>
      <w:r>
        <w:rPr>
          <w:b/>
        </w:rPr>
        <w:t>E. 7</w:t>
      </w:r>
    </w:p>
    <w:p>
      <w:r>
        <w:t>La recourante obtient gain de cause, de sorte qu'elle peut prétendre une indemnité de dépens à la charge de l'intimée ( art. 68 al. 1 LTF ). Cette dernière supportera également les frais de justice ( art. 66 al. 1 LTF ). Compte tenu de l'issue du litige, la juridiction cantonale statuera à nouveau sur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