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148/2009 vom 20. April 2009</w:t>
      </w:r>
    </w:p>
    <w:p>
      <w:r>
        <w:t>Bundesgericht, 2009-04-20, DE</w:t>
      </w:r>
    </w:p>
    <w:p>
      <w:r>
        <w:rPr>
          <w:b/>
        </w:rPr>
        <w:t xml:space="preserve">Quelle: </w:t>
      </w:r>
      <w:r>
        <w:t>https://mcp.opencaselaw.ch/entscheid/bger_8C_148_2009</w:t>
      </w:r>
    </w:p>
    <w:p>
      <w:r>
        <w:t>FR: TF 8C 148/2009 du 20 avril 2009</w:t>
      </w:r>
    </w:p>
    <w:p>
      <w:r>
        <w:t>IT: TF 8C 148/2009 del 20 aprile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werden die zur Beurteilung der Leistungspflicht des Unfallversicherers erforderlichen Rechtsgrundlagen zutreffend dargelegt, worauf verwiesen wird ( Art. 109 Abs. 3 BGG ).</w:t>
      </w:r>
    </w:p>
    <w:p>
      <w:r>
        <w:rPr>
          <w:b/>
        </w:rPr>
        <w:t>E. 3.1</w:t>
      </w:r>
    </w:p>
    <w:p>
      <w:r>
        <w:t>Nach Würdigung der umfassenden medizinischen Aktenlage hat das kantonale Gericht die aufgrund bestimmter unfallkausaler somatischer Beschwerden (Bauchbeschwerden) von der SUVA zugesprochene Rente von 24 % zu Recht bestätigt. Was die geltend gemachten psychischen Beschwerden betrifft, hat es festgestellt, dass aufgrund der schlüssigen und nachvollziehbaren psychiatrischen Beurteilungen im Gutachten des ärztlichen Begutachtungsinstituts X.________ vom 6. Januar 2006 und im Bericht des SUVA-Arztes Dr. med. K.________, Facharzt FMH für Psychiatrie und Psychotherapie, vom 5. Juli 2007 zwischen den geklagten psychischen Beschwerden und dem Unfallereignis vom 9. August 1981, insbesondere angesichts der fast 20-jährigen Phase der vollen Arbeitsfähigkeit des Versicherten, ein natürlicher Kausalzusammenhang nicht mit überwiegender Wahrscheinlichkeit erstellt ist. Den zutreffenden Erwägungen im angefochtenen Entscheid, worauf verwiesen wird, kann vollumfänglich beigepflichtet werden. Es ist in diesem Zusammenhang darauf hinzuweisen, dass an den Wahrscheinlichkeitsbeweis des natürlichen Kausalzusammenhangs umso strengere Anforderungen zu stellen sind, je grösser der zeitliche Abstand zwischen dem Unfall und dem Eintritt psychischer Störungen ist. Denn medizinische Aussagen über den Kausalverlauf bei psychischen Beschwerden, welche erst mehrere Jahre nach einem Unfall auftreten, werden mit zunehmender zeitlicher Distanz zum Unfall immer schwieriger und hypothetischer. Bei konkurrierenden Ursachen kommt einem ärztlich als Auslöser bezeichneten Faktor daher nicht ohne weiteres die Bedeutung einer relevanten Teilursache zu. Andernfalls bestünde die Gefahr, dass schon bei nicht auszuschliessender oder bloss möglicher Kausalkette der natürliche Kausalzusammenhang angenommen oder einfach unterstellt wird und so das für den Nachweis des natürlichen Kausalzusammenhangs geltende Beweismass der überwiegenden Wahrscheinlichkeit unterlaufen wird (SVR 2003 UV Nr. 12 S. 37 E. 4.3.1 [U 78/02]; vgl. Urteil P vom 6. Juni 2006 mit Hinweisen, U 12/06).</w:t>
      </w:r>
    </w:p>
    <w:p>
      <w:r>
        <w:rPr>
          <w:b/>
        </w:rPr>
        <w:t>E. 3.2</w:t>
      </w:r>
    </w:p>
    <w:p>
      <w:r>
        <w:t>Hinsichtlich der Verneinung des Anspruchs des Versicherten auf eine Integritätsentschädigung kann ebenfalls auf die überzeugenden Erwägungen im angefochtenen Entscheid verwiesen werden. Wie das kantonale Gericht diesbezüglich mit Blick auf die medizinische Aktenlage und in Anwendung der intertemporalrechtlichen Bestimmung ( Art. 118 Abs. 2 lit. c UVG ) richtig erwog, besteht kein Anspruch auf eine Integritätsentschädigung, da die im August 1981 durchgeführte Splenektomie (operative Entfernung der Milz) vor Inkrafttreten des UVG im Jahre 1984 stattgefunden hat.</w:t>
      </w:r>
    </w:p>
    <w:p>
      <w:r>
        <w:rPr>
          <w:b/>
        </w:rPr>
        <w:t>E. 3.3</w:t>
      </w:r>
    </w:p>
    <w:p>
      <w:r>
        <w:t>Sämtliche Einwendungen des Beschwerdeführers vermögen an diesem Ergebnis nichts zu ändern. Insbesondere ist nicht ersichtlich, inwiefern die somatischen Beschwerden, soweit unfallkausal und mithin relevant, zu wenig berücksichtigt worden sind. Diesbezüglich ergeben sich auch keine Anhaltspunkte aus den Akten. Was ferner die psychischen Beschwerden betrifft, braucht mangels natürlicher Kausalität auf die Vorbringen des Beschwerdeführers betreffend Adäquanz nicht weiter eingegangen zu werden.</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Als unterliegende Partei hat der Beschwerdeführer die Gerichtskosten zu tragen ( Art. 66 Abs. 1 BGG ). Zufolge Aussichtslosigkeit der Beschwerde wird das Gesuch um unentgeltliche Rechtspflege im Sinne der Befreiung von den Gerichtskosten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