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8C_147/2023 vom 8. August 2023</w:t>
      </w:r>
    </w:p>
    <w:p>
      <w:r>
        <w:t>Bundesgericht, 2023-08-08, FR</w:t>
      </w:r>
    </w:p>
    <w:p>
      <w:r>
        <w:rPr>
          <w:b/>
        </w:rPr>
        <w:t xml:space="preserve">Quelle: </w:t>
      </w:r>
      <w:r>
        <w:t>https://mcp.opencaselaw.ch/entscheid/bger_8C_147_2023</w:t>
      </w:r>
    </w:p>
    <w:p>
      <w:r>
        <w:t>FR: TF 8C_147/2023 du 8 août 2023</w:t>
      </w:r>
    </w:p>
    <w:p>
      <w:r>
        <w:t>IT: TF 8C_147/2023 del 8 agosto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refusant d'allouer au recourant une rente d'invalidité.</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3.2</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3.3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consid. 5b/bb; arrêt 8C_716/2021 du 12 octobre 2022 consid. 5.3 et les arrêts cités).</w:t>
      </w:r>
    </w:p>
    <w:p>
      <w:r>
        <w:rPr>
          <w:b/>
        </w:rPr>
        <w:t>E. 3.4</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146 V 16 consid. 4.2; 137 V 71 consid. 5.1),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4.1</w:t>
      </w:r>
    </w:p>
    <w:p>
      <w:r>
        <w:t>L'intimée a considéré que le recourant disposait d'une pleine capacité de travail dans une activité adaptée aux limitations fonctionnelles décrites par les médecins de la Clinique C.________. La comparaison du revenu d'invalide de 68'924 fr., calculé sur la base des données statistiques de l'ESS 2018 (TA1_tirage_skill_level, niveau de compétence 1, total hommes), avec le revenu sans invalidité de 72'655 fr. aboutissait à un degré d'invalidité de 5 %, soit un taux insuffisant pour ouvrir le droit à la rente.</w:t>
      </w:r>
    </w:p>
    <w:p>
      <w:r>
        <w:rPr>
          <w:b/>
        </w:rPr>
        <w:t>E. 4.2</w:t>
      </w:r>
    </w:p>
    <w:p>
      <w:r>
        <w:t>Les juges cantonaux ont estimé qu'il n'y avait pas lieu de remettre en cause les limitations fonctionnelles retenues par les médecins de la Clinique C.________; les rapports des médecins traitants du recourant (à savoir les docteurs E.________ et F.________) tenaient compte d'atteintes aux deux épaules et le recourant présentait des douleurs à l'épaule droite avant l'accident du 19 septembre 2018. Contrairement à ce que préconisait le recourant, il n'y avait pas lieu non plus de procéder à une nouvelle comparaison des revenus sur la base des chiffres de l'ESS 2020, dès lors que la décision sur opposition du 5 janvier 2022 avait été rendue antérieurement à la publication - le 23 août 2022 - des résultats de l'ESS pour l'année 2020. Au demeurant, l'utilisation de l'ESS 2020 ne pouvait pas conduire à l'octroi d'une rente d'invalidité. L'intimée n'avait en effet pas violé le droit fédéral en considérant qu'un abattement sur le revenu statistique pris en compte pour fixer le revenu d'invalide ne se justifiait pas. Les limitations fonctionnelles du recourant, son manque d'expérience dans une nouvelle profession et son âge ne constituaient notamment pas des motifs d'abattement. Dans ces conditions, la décision sur opposition devait être confirmée.</w:t>
      </w:r>
    </w:p>
    <w:p>
      <w:r>
        <w:rPr>
          <w:b/>
        </w:rPr>
        <w:t>E. 5.1</w:t>
      </w:r>
    </w:p>
    <w:p>
      <w:r>
        <w:t>Le recourant soutient que les statistiques de l'ESS 2020 - et non celles de l'ESS 2018 - devraient être utilisées aux fins de déterminer le revenu d'invalide. Bien que les résultats de l'ESS 2020 n'aient été publiés que le 23 août 2022, ils auraient trait à des éléments économiques préexistants à la décision sur opposition du 5 janvier 2022, laquelle ne serait au demeurant pas encore entrée en force. Dès lors que le début du droit à la rente d'invalidité devrait être fixé au 1</w:t>
      </w:r>
    </w:p>
    <w:p>
      <w:r>
        <w:t>er janvier 2021, il conviendrait de tenir compte de l'évolution des salaires de - 0.7 % pour l'année 2021. Par ailleurs, le salaire issu de l'ESS devrait faire l'objet d'un abattement de 5 %, au vu des importantes limitations fonctionnelles - qui feraient obstacle à toute activité impliquant des manutentions légères avec le membre supérieur gauche - définies par les docteurs E.________ et F.________ et des difficultés de reclassement professionnel rencontrées par le recourant.</w:t>
      </w:r>
    </w:p>
    <w:p>
      <w:r>
        <w:rPr>
          <w:b/>
        </w:rPr>
        <w:t>E. 5.2.1</w:t>
      </w:r>
    </w:p>
    <w:p>
      <w:r>
        <w:t>S'agissant des limitations fonctionnelles, il n'y a pas lieu de s'écarter de l'appréciation des médecins de la Clinique C.________. Ceux-ci ont rédigé leur rapport de sortie le 30 décembre 2019, soit deux mois avant la stabilisation de l'état de santé, intervenue fin février 2020 selon le docteur D.________. Or rien n'indique que l'état de santé du recourant aurait évolué dans ce laps de temps. Dans son évaluation du 8 juillet 2021, le docteur D.________ a du reste indiqué que les limitations fonctionnelles définies lors du séjour à la Clinique C.________ devaient être considérées comme définitives. Les docteurs E.________ et F.________ ont certes fixé le port de charge maximal à 2-5 kg, alors que les médecins de la Clinique C.________ ont posé cette limite à 25-30 kg. Le recourant perd toutefois de vue que ses médecins traitants ont également tenu compte dans leurs rapports d'affections étrangères à l'accident du 19 septembre 2018, en particulier de lésions non traumatiques à l'épaule droite, présentes depuis 2015. Ils ont d'ailleurs précisé que les limitations fonctionnelles dont ils faisaient état étaient en lien avec les séquelles des deux épaules.</w:t>
      </w:r>
    </w:p>
    <w:p>
      <w:r>
        <w:rPr>
          <w:b/>
        </w:rPr>
        <w:t>E. 5.2.2</w:t>
      </w:r>
    </w:p>
    <w:p>
      <w:r>
        <w:t>Les limitations fonctionnelles décrites par les médecins de la Clinique C.________ ont été prises en considération pour déterminer la capacité de travail du recourant dans une activité adaptée à son état de santé. Or, lorsque comme en l'espèce, un nombre suffisant d'activités correspondent à des travaux respectant les limitations fonctionnelles de l'assuré, une déduction supplémentaire sur le salaire statistique ne se justifie en principe pas pour tenir compte des circonstances liées au handicap. En effet, un abattement n'entre en considération que si, sur un marché du travail équilibré, il n'y a plus un éventail suffisamment large d'activités accessibles à l'assuré (cf. arrêt 8C_479/2022 du 22 février 2023 consid. 5.4 et l'arrêt cité). Un abattement ne se justifie donc pas en l'espèce, quand bien même le recourant éprouverait des difficultés à trouver un emploi malgré sa capacité de travail médico-théorique dans une activité adaptée.</w:t>
      </w:r>
    </w:p>
    <w:p>
      <w:r>
        <w:rPr>
          <w:b/>
        </w:rPr>
        <w:t>E. 5.2.3</w:t>
      </w:r>
    </w:p>
    <w:p>
      <w:r>
        <w:t>Contrairement à ce que soutient le recourant, le droit à une éventuelle rente d'invalidité débuterait le 1</w:t>
      </w:r>
    </w:p>
    <w:p>
      <w:r>
        <w:t>er mars 2020 et non le 1</w:t>
      </w:r>
    </w:p>
    <w:p>
      <w:r>
        <w:t>er janvier 2021, dès lors que la stabilisation de son état de santé a été fixée à fin février 2020 (cf. art. 19 al. 1 LAA ). Même en faisant application des statistiques de l'ESS 2020, il ne pourrait pas prétendre à l'octroi d'une rente, comme retenu à juste titre par l'instance précédente. En prenant en compte lesdites statistiques (ESS 2020, TA1_tirage_skill_level, niveau de compétence 1, total hommes), le revenu d'invalide se monterait à 65'815 fr. 20. Comparé au revenu sans invalidité de 72'655 fr., ce revenu d'invalide aboutirait à un taux d'invalidité de 9,42 %, arrondi à 9 %, insuffisant au regard de l' art. 18 al. 1 LAA pour ouvrir le droit à une rente.</w:t>
      </w:r>
    </w:p>
    <w:p>
      <w:r>
        <w:rPr>
          <w:b/>
        </w:rPr>
        <w:t>E. 6</w:t>
      </w:r>
    </w:p>
    <w:p>
      <w:r>
        <w:t>Au vu de ce qui précède, le recours, mal fondé, doit être rejeté. 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