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8C_146/2024 vom 19. März 2024</w:t>
      </w:r>
    </w:p>
    <w:p>
      <w:r>
        <w:t>Bundesgericht, 2024-03-19, DE</w:t>
      </w:r>
    </w:p>
    <w:p>
      <w:r>
        <w:rPr>
          <w:b/>
        </w:rPr>
        <w:t xml:space="preserve">Quelle: </w:t>
      </w:r>
      <w:r>
        <w:t>https://mcp.opencaselaw.ch/entscheid/bger_8C_146_2024</w:t>
      </w:r>
    </w:p>
    <w:p>
      <w:r>
        <w:t>FR: TF 8C_146/2024 du 19 mars 2024</w:t>
      </w:r>
    </w:p>
    <w:p>
      <w:r>
        <w:t>IT: TF 8C_146/2024 del 19 marzo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Entscheid vom 6. Dezember 2023 den Einspracheentscheid der Beschwerdegegnerin vom 25. September 2023, wonach der Beschwerdeführer keinen Anspruch auf Berufsberatung hat. Dabei legte es in Auseinandersetzung mit den Parteivorbringen und in Würdigung der Beweismittel näher dar, weshalb der Beschwerdeführer gesundheitlich als in der Berufswahl nicht beeinträchtigt zu betrachten ist, was einen Anspruch auf Berufsberatung ausschliesse.</w:t>
      </w:r>
    </w:p>
    <w:p>
      <w:r>
        <w:rPr>
          <w:b/>
        </w:rPr>
        <w:t>E. 3</w:t>
      </w:r>
    </w:p>
    <w:p>
      <w:r>
        <w:t>Die Ausführungen in der Beschwerde erschöpfen sich - soweit überhaupt sachbezogen vorgetragen - in einer letztinstanzlich unzulässigen appellatorischen Kritik an der vorinstanzlichen Beweiswürdigung. Inwiefern das kantonale Gericht dabei mit offensichtlich unrichtigen oder unvollständigen Feststellungen in Willkür verfallen sein (dazu Näheres: BGE 146 IV 88 E. 1.3.1 f. und 140 III 115 E. 2; je mit Hinweisen) oder einen anderen Beschwerdegrund ( Art. 95 ff. BGG ) gesetzt haben soll, legt der Beschwerdeführer nicht dar. Er scheint bei seinen Vorbringen zu verkennen, dass vorliegend allein die Frage nach dem Anspruch auf Berufsberatung zum Beschwerdethema erhoben werden kann. Ob es sich bei der im Bericht des Spitals B.________ vom 9. August 2022 diagnostizierten Skoliose um ein Geburtsgebrechen nach Art. 3 Abs. 2 ATSG handelt oder nicht, ist in diesem Zusammenhang ohne Belang.</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t>Damit wird das mit der Beschwerdeerhebung sinngemäss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