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8C_145/2026 vom 17. März 2026</w:t>
      </w:r>
    </w:p>
    <w:p>
      <w:r>
        <w:t>Bundesgericht, 2026-03-17, DE</w:t>
      </w:r>
    </w:p>
    <w:p>
      <w:r>
        <w:rPr>
          <w:b/>
        </w:rPr>
        <w:t xml:space="preserve">Quelle: </w:t>
      </w:r>
      <w:r>
        <w:t>https://mcp.opencaselaw.ch/entscheid/bger_8C_145_2026</w:t>
      </w:r>
    </w:p>
    <w:p>
      <w:r>
        <w:t>FR: TF 8C_145/2026 du 17 mars 2026</w:t>
      </w:r>
    </w:p>
    <w:p>
      <w:r>
        <w:t>IT: TF 8C_145/2026 del 17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13. Januar 2026 den Einspracheentscheid der Beschwerdegegnerin vom 2. September 2024, mit welchem der Beschwerdeführerin die Vergütung von Franchisen und Selbstbehalt der Krankenversicherung der Jahre 2023 und 2024 (genauer: vom 1. Januar 2023 bis 30. Juni 2024) von Fr. 665.20 zugesprochen wurde. Dabei überprüfte es in Auseinandersetzung mit den Parteivorbringen - soweit überhaupt auf den durch den Einspracheentscheid vorgegebenen Streitgegenstand bezogen - eingehend, ob dieser Betrag durch die Beschwerdegegnerin korrekt festgelegt worden sei und bejahte dies.</w:t>
      </w:r>
    </w:p>
    <w:p>
      <w:r>
        <w:rPr>
          <w:b/>
        </w:rPr>
        <w:t>E. 3</w:t>
      </w:r>
    </w:p>
    <w:p>
      <w:r>
        <w:t>Die Beschwerdeführerin geht darauf nicht näher ein. Stattdessen verweist sie auf ihre anspruchsvollen Lebensumstände, fordert ausserhalb des Streitgegenstands Liegendes und bezeichnet das vorinstanzliche Urteil pauschal als "Dreck", der durch das Bundesgericht zu beseitigen sei. Damit ist den eingangs aufgezeigten Begründungsanforderungen offensichtlich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(vgl. Urteile 8C_756/2023 vom 11. Januar 2024 und 9C_874/2017 vom 13. Dezember 2017) auf die Erhebung von Gerichtskosten verzichtet werden. Indessen darf die Beschwerdeführerin bei gleichbleibender künftiger Prozessführung nicht mehr mit dieser Rechtswohltat rechnen.</w:t>
      </w:r>
    </w:p>
    <w:p>
      <w:r>
        <w:t>Auch ist darauf hinzuweisen, dass unnötig herabsetzende Äusserungen gegen Gerichtsbehörden, Verwaltung oder Dritte wie jene, welche in E. 3 hiervor erwähnt ist, von einer Rückweisung der Beschwerdeschrift ( Art. 42 Abs. 5 BGG ) bis zur Auferlegung einer Ordnungsbusse (Art. Art. 33 Abs. 1 BGG ) führen können und daher inskünftig unterbleiben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