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145/2023 vom 5. April 2023</w:t>
      </w:r>
    </w:p>
    <w:p>
      <w:r>
        <w:t>Bundesgericht, 2023-04-05, IT</w:t>
      </w:r>
    </w:p>
    <w:p>
      <w:r>
        <w:rPr>
          <w:b/>
        </w:rPr>
        <w:t xml:space="preserve">Quelle: </w:t>
      </w:r>
      <w:r>
        <w:t>https://mcp.opencaselaw.ch/entscheid/bger_8C_145_2023</w:t>
      </w:r>
    </w:p>
    <w:p>
      <w:r>
        <w:t>FR: TF 8C 145/2023 du 5 avril 2023</w:t>
      </w:r>
    </w:p>
    <w:p>
      <w:r>
        <w:t>IT: TF 8C 145/2023 del 5 aprile 2023</w:t>
      </w:r>
    </w:p>
    <w:p>
      <w:pPr>
        <w:pStyle w:val="Heading2"/>
      </w:pPr>
      <w:r>
        <w:t>Regeste</w:t>
      </w:r>
    </w:p>
    <w:p>
      <w:r>
        <w:t>Assicurazione contro la disoccupazione (presupposto processuale) | Assicurazione contro la disoccupazione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Secondo l' art. 95 LTF il ricorrente può far valere, tra l'altro, la violazione del diritto federale (lett. a), mentre l'accertamento dei fatti può essere censurato solo se è stato svolto in modo manifestamente inesatto o in violazione del diritto ai sensi dell' art. 95 LTF e l'eliminazione del vizio può essere determinante per l'esito del procedimento ( art. 97 cpv. 1 LTF ). Conformemente all' art. 42 cpv. 1 e 2 LTF , il ricorso deve contenere, tra l'altro, le conclusioni e i loro motivi, indicando in modo conciso perché l'atto impugnato viola il diritto. È necessario confrontarsi specificatamente con i considerandi della sentenza impugnata e spiegare in dettaglio quali disposizioni siano state violate dall'autorità inferiore e perché ( DTF 134 V 53 consid. 3.3; 133 IV 286 consid. 1.4). La semplice ripetizione del proprio punto di vista o la mera affermazione che il giudizio impugnato sia sbagliato non è sufficiente (sull'inammissibilità di critiche appellatorie, cfr. DTF 148 IV 205 consid. 2.6; 144 V 50 consid. 4.2; 137 V 57 consid. 1.3; 136 I 65 consid. 1.3.1).</w:t>
      </w:r>
    </w:p>
    <w:p>
      <w:r>
        <w:rPr>
          <w:b/>
        </w:rPr>
        <w:t>E. 2</w:t>
      </w:r>
    </w:p>
    <w:p>
      <w:r>
        <w:t>Nella sentenza impugnata, il Tribunale cantonale ha confermato la decisione su opposizione del 6 settembre 2022 con cui la Sezione del lavoro del Cantone Ticino ha negato alla ricorrente il diritto alle indennità per lavoro ridotto per il periodo dal 1° giugno al 31 agosto 2022. I giudici ticinesi hanno infatti ritenuto che l'attività oggetto della richiesta non era stata intralciata per motivi legati alla pandemia (cfr. sentenze 8C_752/2021 del 15 marzo 2022; 8C_555/2021 del 24 novembre 2021; 8C_503/2021 del 18 novembre 2021) ma piuttosto da circostanze rientranti nel normale rischio aziendale (cfr. artt. 31 cpv. 1 lett. d, 32 cpv. 1 e 33 cpv. 1 lett. a LADI [RS 837.0]). In quel periodo, le restrizioni pandemiche non erano infatti più in vigore (a differenza invece del precedente preannuncio di lavoro ridotto a partire dal 2 marzo 2020).</w:t>
      </w:r>
    </w:p>
    <w:p>
      <w:r>
        <w:rPr>
          <w:b/>
        </w:rPr>
        <w:t>E. 3</w:t>
      </w:r>
    </w:p>
    <w:p>
      <w:r>
        <w:t>La ricorrente solleva in questa sede sostanzialmente quanto già sostenuto dinnanzi all'autorità inferiore, senza tuttavia confrontarsi a sufficienza con i considerandi del giudizio impugnato. In particolare, essa non spiega in che modo il giudizio impugnato sia contrario al diritto nell'aver negato i presupposti degli artt. 31 cpv. 1 lett. d, 32 cpv. 1 e 33 cpv. 1 lett. a LADI.</w:t>
      </w:r>
    </w:p>
    <w:p>
      <w:r>
        <w:rPr>
          <w:b/>
        </w:rPr>
        <w:t>E. 4</w:t>
      </w:r>
    </w:p>
    <w:p>
      <w:r>
        <w:t>Il ricorso non soddisfa manifestamente le esigenze formali di motivazione e, pertanto, statuendo secondo la procedura semplificata dell' art. 108 cpv. 1 lett. b LTF , deve essere dichiarato inammissibile.</w:t>
      </w:r>
    </w:p>
    <w:p>
      <w:r>
        <w:rPr>
          <w:b/>
        </w:rPr>
        <w:t>E. 5</w:t>
      </w:r>
    </w:p>
    <w:p>
      <w:r>
        <w:t>In applicazione dell'art. 66 cpv. 1 seconda frase LTF, si prescinde eccezionalmente dal caricare le spese giudiziarie alla parte soccombente.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