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144/2012 vom 9. November 2012</w:t>
      </w:r>
    </w:p>
    <w:p>
      <w:r>
        <w:t>Bundesgericht, 2012-11-09, FR</w:t>
      </w:r>
    </w:p>
    <w:p>
      <w:r>
        <w:rPr>
          <w:b/>
        </w:rPr>
        <w:t xml:space="preserve">Quelle: </w:t>
      </w:r>
      <w:r>
        <w:t>https://mcp.opencaselaw.ch/entscheid/bger_8C_144_2012</w:t>
      </w:r>
    </w:p>
    <w:p>
      <w:r>
        <w:t>FR: TF 8C 144/2012 du 9 novembre 2012</w:t>
      </w:r>
    </w:p>
    <w:p>
      <w:r>
        <w:t>IT: TF 8C 144/2012 del 9 novembre 2012</w:t>
      </w:r>
    </w:p>
    <w:p>
      <w:pPr>
        <w:pStyle w:val="Heading2"/>
      </w:pPr>
      <w:r>
        <w:t>Regeste</w:t>
      </w:r>
    </w:p>
    <w:p>
      <w:r>
        <w:t>Assurance-invalidité (rente d'invalidité, évaluation de l'invalidité, revenu sans invalidité) | Assurance-invalidité</w:t>
      </w:r>
    </w:p>
    <w:p>
      <w:pPr>
        <w:pStyle w:val="Heading2"/>
      </w:pPr>
      <w:r>
        <w:t>Erwägungen</w:t>
      </w:r>
    </w:p>
    <w:p>
      <w:r>
        <w:rPr>
          <w:b/>
        </w:rPr>
        <w:t>E. 1.1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1.2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2</w:t>
      </w:r>
    </w:p>
    <w:p>
      <w:r>
        <w:t>Est litigieux le droit du recourant à percevoir une rente d'invalidité et, le cas échéant, le taux de celle-ci au-delà du 1er février 2011.</w:t>
      </w:r>
    </w:p>
    <w:p>
      <w:r>
        <w:rPr>
          <w:b/>
        </w:rPr>
        <w:t>E. 3</w:t>
      </w:r>
    </w:p>
    <w:p>
      <w:r>
        <w:t>Le seul point contesté en procédure fédérale concerne le revenu sans invalidité.</w:t>
      </w:r>
    </w:p>
    <w:p>
      <w:r>
        <w:rPr>
          <w:b/>
        </w:rPr>
        <w:t>E. 3.1</w:t>
      </w:r>
    </w:p>
    <w:p>
      <w:r>
        <w:t>La juridiction cantonale a considéré comme établi au degré de la vraisemblance prépondérante que, sans accident, le recourant n'aurait pas continué son activité de man?uvre sur chantiers souterrains mais qu'il aurait, comme il l'a déclaré, repris l'exploitation d'un restaurant-pizzeria. Elle a donc fixé le salaire sans invalidité à 47'895 fr. sur la base de l'ESS (TA 1, secteur 55/hôtellerie, niveau de qualification 4).</w:t>
      </w:r>
    </w:p>
    <w:p>
      <w:r>
        <w:rPr>
          <w:b/>
        </w:rPr>
        <w:t>E. 3.2</w:t>
      </w:r>
    </w:p>
    <w:p>
      <w:r>
        <w:t>Le recourant fait grief à la juridiction cantonale d'avoir violé le droit fédéral, en particulier l' art. 15 al. 2 LAA , en ne prenant pas en compte, pour fixer le revenu sans invalidité, le dernier salaire qu'il avait perçu en sa qualité de man?uvre sur les chantiers souterrains.</w:t>
      </w:r>
    </w:p>
    <w:p>
      <w:r>
        <w:rPr>
          <w:b/>
        </w:rPr>
        <w:t>E. 3.3.1</w:t>
      </w:r>
    </w:p>
    <w:p>
      <w:r>
        <w:t>Les règles légales et jurisprudentielles sur la manière d'effectuer la comparaison des revenus ( art. 16 LPGA ), y compris celles concernant l'utilisation de l'ESS, relèvent de questions de droit. Sous cet angle, la constatation des deux revenus hypothétiques à comparer est une question de fait, dans la mesure où elle repose sur une appréciation concrète des preuves; il s'agit en revanche d'une question de droit si elle se fonde sur l'expérience générale de la vie. Ainsi, relèvent du droit les questions de savoir si les salaires statistiques de l'ESS sont applicables ou quel tableau statistique est déterminant ( ATF 132 V 393 consid. 3.3 p. 399).</w:t>
      </w:r>
    </w:p>
    <w:p>
      <w:r>
        <w:rPr>
          <w:b/>
        </w:rPr>
        <w:t>E. 3.3.2</w:t>
      </w:r>
    </w:p>
    <w:p>
      <w:r>
        <w:t>Le recourant critique le fait que la juridiction cantonale s'est fondée sur les salaires statistiques pour déterminer le revenu sans invalidité. Cette question relève du droit.</w:t>
      </w:r>
    </w:p>
    <w:p>
      <w:r>
        <w:rPr>
          <w:b/>
        </w:rPr>
        <w:t>E. 3.3.3</w:t>
      </w:r>
    </w:p>
    <w:p>
      <w:r>
        <w:t>Le revenu sans invalidité est celui que l'assuré aurait pu obtenir s'il n'était pas devenu invalide ( art. 16 LPGA ; art. 28a al.1 LAI ). Selon la jurisprudence,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Pour savoir s'il y a lieu de prendre en considération un changement hypothétique d'activité, les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(arrêts 9C_486/2011 du 12 octobre 2011 consid. 4.1 et 9C_523/2008 du 25 mai 2009 consid. 2.2). Lorsque l'invalidité est la conséquence d'un accident, ces indices doivent déjà avoir existé au moment où celui-ci s'est produit (arrêt U 222/97 du 23 juin 1999 consid. 5c résumé in: REAS 2003 p. 66).</w:t>
      </w:r>
    </w:p>
    <w:p>
      <w:r>
        <w:rPr>
          <w:b/>
        </w:rPr>
        <w:t>E. 3.3.4</w:t>
      </w:r>
    </w:p>
    <w:p>
      <w:r>
        <w:t>En l'espèce, il est évident que le recourant n'avait pas l'intention de gagner moins qu'auparavant en devenant un jour exploitant d'une pizzeria. Bien au contraire, il faudrait donc se fonder sur un revenu d'exploitant d'un établissement public de ce genre, revenu qui varie fortement en fonction des circonstances (et non sur un revenu salarié). Cela étant, en déclarant successivement en 2005 et en 2006 à un inspecteur et à un médecin de la CNA qu'il entendait travailler dans la restauration, le recourant faisait part d'un simple projet d'avenir. Or, la jurisprudence ne se contente pas de déclarations d'intention: des indices concrets en faveur de l'évolution de la carrière professionnelle doivent exister, par exemple, lorsque l'employeur a laissé entrevoir une telle perspective d'avancement ou a donné des assurances dans ce sens. Par ailleurs, lorsque l'invalidité est la conséquence d'un accident, ces indices doivent déjà avoir existé au moment où celui-ci s'est produit (p. ex. arrêt 9C_486/2011 précité consid. 4.1). Ce qui vaut dans un sens (perspective d'avancement) doit aussi valoir dans l'autre sens (passage à un statut d'indépendant supposé moins rémunérateur). En l'occurrence, il n'y a pas d'éléments suffisants pour admettre que l'assuré n'aurait pas continué, à moyen terme tout au moins, une activité de tunnelier sur un des nombreux chantiers souterrains en Suisse (tunnel de base du Gotthard, tunnels routiers etc.). C'est donc un revenu dans une telle activité qui doit être pris en compte au titre de revenu sans invalidité. Le recourant estime que le revenu sans invalidité coïncide avec le salaire figurant sur la déclaration d'accident LAA du 29 mars 2004, soit 86'374 fr. Les éléments du dossier ne permettent pas de confirmer sans autre ce montant, lequel devrait de toute manière être adapté jusqu'en 2011, année au cours de laquelle le droit à la rente a été supprimé (cf. décision de l'office AI du 1er décembre 2010).</w:t>
      </w:r>
    </w:p>
    <w:p>
      <w:r>
        <w:rPr>
          <w:b/>
        </w:rPr>
        <w:t>E. 3.4</w:t>
      </w:r>
    </w:p>
    <w:p>
      <w:r>
        <w:t>Il s'ensuit que le jugement entrepris doit être annulé et la cause renvoyée aux premiers juges pour qu'ils déterminent, compte tenu de ce qui précède, le revenu sans invalidité de l'intéressé, au besoin après instruction complémentaire et qu'ils fixent le taux d'invalidité avant de rendre une nouvelle décision sur le bien-fondé ou non de la suppression du droit à la rente d'invalidité par l'office intimé dès le 1er février 2011.</w:t>
      </w:r>
    </w:p>
    <w:p>
      <w:r>
        <w:rPr>
          <w:b/>
        </w:rPr>
        <w:t>E. 4</w:t>
      </w:r>
    </w:p>
    <w:p>
      <w:r>
        <w:t>Le recourant obtient gain de cause, de sorte qu'il peut prétendre une indemnité de dépens à la charge de l'office intimé ( art. 68 al. 1 LTF ). Ce dernier supportera également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