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8C_142/2025 vom 13. März 2025</w:t>
      </w:r>
    </w:p>
    <w:p>
      <w:r>
        <w:t>Bundesgericht, 2025-03-13, DE</w:t>
      </w:r>
    </w:p>
    <w:p>
      <w:r>
        <w:rPr>
          <w:b/>
        </w:rPr>
        <w:t xml:space="preserve">Quelle: </w:t>
      </w:r>
      <w:r>
        <w:t>https://mcp.opencaselaw.ch/entscheid/bger_8C_142_2025</w:t>
      </w:r>
    </w:p>
    <w:p>
      <w:r>
        <w:t>FR: TF 8C_142/2025 du 13 mars 2025</w:t>
      </w:r>
    </w:p>
    <w:p>
      <w:r>
        <w:t>IT: TF 8C_142/2025 del 13 marzo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Das kantonale Gericht bestätigte mit Entscheid vom 15. Januar 2025 die Weigerung der Beschwerdegegnerin, den Beschwerdeführern im Rahmen der Asylsozialhilfe (Art. 81, Art. 82 Abs. 3 und Abs. 3bis AsyG; Art. 3 Abs. 2 AsylV 2 ; § 8 und § 24 Abs. 3 SHG/TG, § 1 ff. SHV/TG) für die Zeit von 11. Oktober 2022 bis 31. Oktober 2023 einen Logiekostenbeitrag von monatlich Fr. 1'100.- zu bezahlen. Dabei legte es in Auseinandersetzung mit den Parteivorbringen und in Würdigung der Akten dar, weshalb die Beschwerdeführer die ihnen am 27. Juli 2022 angebotene Wohnung in Scherzingen hätten annehmen müssen. Nachdem sich die Beschwerdeführer stattdessen für die Fortführung der bisherigen Unterbringung bei den Angehörigen entscheiden hätten, schliesse dies eine Kostenbeteiligung aus.</w:t>
      </w:r>
    </w:p>
    <w:p>
      <w:r>
        <w:rPr>
          <w:b/>
        </w:rPr>
        <w:t>E. 3</w:t>
      </w:r>
    </w:p>
    <w:p>
      <w:r>
        <w:t>Die Vorbringen der Beschwerdeführer sind zwar zahlreich. Sie beschränken sich indessen im Wesentlichen auf Ausführungen zum Geschehensablauf. Darüber hinaus wird begründet, warum die ihnen angebotene Wohnung unzumutbar gewesen sein soll. Beschwerdeweise nicht dargelegt ist hingegen, inwieweit die vom kantonalen Gericht getroffenen Sachverhaltsfeststellungen offensichtlich unrichtig im Sinne von Art. 97 Abs. 1 BGG , das heisst willkürlich ( BGE 146 IV 88 E. 1.3.1 f.; 140 III 115 E. 2; je mit Hinweisen), sein könnten. Genauso wenig ist ersichtlich, dass die darauf beruhenden Erwägungen gegen Bundesrecht verstossen oder einen anderen Beschwerdegrund (vgl. Art. 95 lit. a-e BGG ) gesetzt haben sollen.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Beschwerde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