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8C_142/2019 vom 4. Juli 2019</w:t>
      </w:r>
    </w:p>
    <w:p>
      <w:r>
        <w:t>Bundesgericht, 2019-07-04, DE</w:t>
      </w:r>
    </w:p>
    <w:p>
      <w:r>
        <w:rPr>
          <w:b/>
        </w:rPr>
        <w:t xml:space="preserve">Quelle: </w:t>
      </w:r>
      <w:r>
        <w:t>https://mcp.opencaselaw.ch/entscheid/bger_8C_142_2019</w:t>
      </w:r>
    </w:p>
    <w:p>
      <w:r>
        <w:t>FR: TF 8C_142/2019 du 4 juillet 2019</w:t>
      </w:r>
    </w:p>
    <w:p>
      <w:r>
        <w:t>IT: TF 8C_142/2019 del 4 luglio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in Bestätigung des Einspracheentscheids der Suva vom 24. Juli 2018 einen Rentenanspruch verneinte.</w:t>
      </w:r>
    </w:p>
    <w:p>
      <w:r>
        <w:rPr>
          <w:b/>
        </w:rPr>
        <w:t>E. 2.2</w:t>
      </w:r>
    </w:p>
    <w:p>
      <w:r>
        <w:t>Im angefochtenen Entscheid sind die für die Beurteilung des Leistungsanspruchs massgebenden Rechtsgrundlagen zutreffend dargelegt. Darauf wird verwiesen ( Art. 109 Abs. 3 BGG ).</w:t>
      </w:r>
    </w:p>
    <w:p>
      <w:r>
        <w:rPr>
          <w:b/>
        </w:rPr>
        <w:t>E. 3.1</w:t>
      </w:r>
    </w:p>
    <w:p>
      <w:r>
        <w:t>Nach sorgfältiger Würdigung der Aktenlage hat das kantonale Gericht mit überzeugender Begründung, worauf verwiesen wird ( Art. 109 Abs. 3 BGG ), dem kreisärztlichen Untersuchungsbericht der Dr. med. C.________, Fachärztin FMH für Allgemeine Innere Medizin, über die kreisärztliche Abschlussuntersuchung vom 11. August 2016 volle Beweiskraft zuerkannt. Danach liege eine mässige, medial betonte Gonarthrose links bei Status nach medialer Teilmeniskektomie links am 19. Oktober 2015 vor. Die angestammte Tätigkeit des Beschwerdeführers als Lastwagenchauffeur sei nicht ideal. Eine den Leiden angepasste Tätigkeit sei dagegen zeitlich uneingeschränkt zumutbar. Das kantonale Gericht erwog, es beständen keine auch nur geringen Zweifel an der überzeugenden Stellungnahme der Kreisärztin. Es bejahte sodann die Verwertbarkeit der Restarbeitsfähigkeit im Lichte des Alters des Versicherten und berechnete einen rentenausschliessenden Invaliditätsgrad von maximal 6 %.</w:t>
      </w:r>
    </w:p>
    <w:p>
      <w:r>
        <w:rPr>
          <w:b/>
        </w:rPr>
        <w:t>E. 3.2</w:t>
      </w:r>
    </w:p>
    <w:p>
      <w:r>
        <w:t>Was der Beschwerdeführer gegen den angefochtenen Entscheid vorbringt, ist offensichtlich unbegründet.</w:t>
      </w:r>
    </w:p>
    <w:p>
      <w:r>
        <w:t>Die vorinstanzliche Sachverhaltsfeststellung beruht auf einer korrekten Prüfung und Würdigung der medizinischen Aktenlage. Mit Blick darauf konnte und kann in antizipierter Beweiswürdigung ( BGE 124 V 90 E. 4b S. 94; 122 V 157 E. 1d S. 162) auf zusätzliche Abklärungen verzichtet werden. Eine Bundesrechtswidrigkeit, namentlich eine Verletzung des Untersuchungsgrundsatzes, ist darin ebenso wenig zu sehen wie eine in medizinischer Hinsicht unrichtige Sachverhaltsfeststellung. Soweit der Beschwerdeführer geltend macht, das kantonale Gericht habe sich nicht hinreichend mit der Einschätzung des behandelnden Arztes, Dr. med. D.________, Facharzt FMH für Orthopädische Chirurgie und Traumatologie des Bewegungsapparates, auseinandergesetzt und damit seinen Anspruch auf rechtliches Gehör verletzt, kann ihm nicht beigepflichtet werden. So legte die Vorinstanz ausführlich dar, weshalb die Stellungnahme des Dr. med. D.________ den Beweiswert des kreisärztlichen Untersuchungsberichtes und insbesondere das darin festgelegte Zumutbarkeitsprofil nicht zu erschüttern vermag. Sie begründete dies etwa damit, dass die Kritik des behandelnden Arztes wenig spezifisch sei und dieser ausserdem fälschlicherweise vom Integritätsschaden auf den Invaliditätsgrad zu schliessen scheine. Anzufügen bleibt, dass auch die hinsichtlich des Belastungsprofils nicht weiter unterlegte Einschätzung des Dr. med. D.________, wonach die Arthrose mit Blick auf die von ihm gestellte Operationsindikation als schwer bezeichnet werden dürfe, nicht genügt, um auch nur geringe Zweifel an der Zuverlässigkeit und Schlüssigkeit der auf einer persönlichen Untersuchung basierenden versicherungsinternen Beurteilung zu begründen.</w:t>
      </w:r>
    </w:p>
    <w:p>
      <w:r>
        <w:rPr>
          <w:b/>
        </w:rPr>
        <w:t>E. 4</w:t>
      </w:r>
    </w:p>
    <w:p>
      <w:r>
        <w:t>Die offensichtlich unbegründete Beschwerde wird im vereinfachten Verfahren nach Art. 109 Abs. 2 lit. a BGG - mit summarischer Begründung unter Verweis auf den vorinstanzlichen Entscheid ( Art. 102 Abs. 1 und Art. 109 Abs. 3 BGG )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