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13/2023 vom 28. Juni 2023</w:t>
      </w:r>
    </w:p>
    <w:p>
      <w:r>
        <w:t>Bundesgericht, 2023-06-28, DE</w:t>
      </w:r>
    </w:p>
    <w:p>
      <w:r>
        <w:rPr>
          <w:b/>
        </w:rPr>
        <w:t xml:space="preserve">Quelle: </w:t>
      </w:r>
      <w:r>
        <w:t>https://mcp.opencaselaw.ch/entscheid/bger_8C_13_2023</w:t>
      </w:r>
    </w:p>
    <w:p>
      <w:r>
        <w:t>FR: TF 8C 13/2023 du 28 juin 2023</w:t>
      </w:r>
    </w:p>
    <w:p>
      <w:r>
        <w:t>IT: TF 8C 13/2023 del 28 giugno 2023</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 Urteil 8C_624/2022 vom 24. Februar 2023 E. 1.1).</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 Urteil 8C_404/2022 vom 13. September 2022 E. 1.3).</w:t>
      </w:r>
    </w:p>
    <w:p>
      <w:r>
        <w:rPr>
          <w:b/>
        </w:rPr>
        <w:t>E. 1.3</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8C_660/2022 vom 25. Mai 2023 E. 1.4 mit Hinweis).</w:t>
      </w:r>
    </w:p>
    <w:p>
      <w:r>
        <w:rPr>
          <w:b/>
        </w:rPr>
        <w:t>E. 2.1</w:t>
      </w:r>
    </w:p>
    <w:p>
      <w:r>
        <w:t>Streitig ist, ob die Vorinstanz Bundesrecht verletzte, indem sie dem Beschwerdeführer abweichend von der Verfügung der IV-Stelle vom 15. Juni 2021 nur für die befristete Dauer vom 1. Januar 2016 bis 31. Januar 2019 eine ganze Invalidenrente zusprach.</w:t>
      </w:r>
    </w:p>
    <w:p>
      <w:r>
        <w:rPr>
          <w:b/>
        </w:rPr>
        <w:t>E. 2.2</w:t>
      </w:r>
    </w:p>
    <w:p>
      <w:r>
        <w:t>Das kantonale Gericht hat die für die Beurteilung des Leistungsanspruchs massgebenden Grundlagen richtig dargelegt. Darauf wird verwiesen ( Art. 109 Abs. 3 BGG ).</w:t>
      </w:r>
    </w:p>
    <w:p>
      <w:r>
        <w:rPr>
          <w:b/>
        </w:rPr>
        <w:t>E. 3</w:t>
      </w:r>
    </w:p>
    <w:p>
      <w:r>
        <w:t>Am 1. Januar 2022 trat das revidierte Bundesgesetz über die Invalidenversicherung (IVG; SR 831.20) in Kraft (Weiterentwicklung der IV [WEIV]; Änderung vom 19. Juni 2020, AS 2021 705, BBl 2017 2535). Die dem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 Urteil 8C_37/2022 vom 7. September 2022 E. 3).</w:t>
      </w:r>
    </w:p>
    <w:p>
      <w:r>
        <w:rPr>
          <w:b/>
        </w:rPr>
        <w:t>E. 4.1</w:t>
      </w:r>
    </w:p>
    <w:p>
      <w:r>
        <w:t>Das kantonale Gericht hat nach einlässlicher Beweiswürdigung mit in allen Teilen zutreffender Begründung, worauf verwiesen wird ( Art. 109 Abs. 3 BGG ), dem im Verfahren nach Art. 44 ATSG eingeholten psychiatrischen Gutachten sowie der ergänzenden Stellungnahme des Dr. med. C.________ volle Beweiskraft zuerkannt. Der Beschwerdeführer legt nicht dar und es ist nicht ersichtlich, inwiefern die Vorinstanz in Verletzung des Willkürverbots konkrete Indizien übersehen hätte, welche gegen die Zuverlässigkeit der Expertise sprechen könnten ( BGE 137 V 210 E. 1.3.4; 135 V 465 E. 4.4; SVR 2022 UV Nr. 43 S. 172, 8C_528/2021 E. 4.2.1). Insbesondere hat sich das kantonale Gericht mit den - vor Bundesgericht im Wesentlichen wiederholten - Einwänden des Beschwerdeführers auseinander gesetzt. Von einer Verletzung der Begründungspflicht (vgl. dazu BGE 143 III 65 E. 5.2 mit Hinweisen) kann keine Rede sein. Eine sachgerechte Anfechtung des vorinstanzlichen Urteils war dem Beschwerdeführer ohne Weiteres möglich (vgl. BGE 142 III 433 E. 4.3.2 mit Hinweisen).</w:t>
      </w:r>
    </w:p>
    <w:p>
      <w:r>
        <w:rPr>
          <w:b/>
        </w:rPr>
        <w:t>E. 4.2</w:t>
      </w:r>
    </w:p>
    <w:p>
      <w:r>
        <w:t>Gemäss angefochtenem Urteil weilte der Beschwerdeführer zwecks stationärer Behandlung seiner psychischen Beschwerden vom 30. November 2015 bis 7. Februar 2016 und vom 14. November 2016 bis 14. Januar 2017 in der Clinica D.________. Abgesehen vom Schweregrad der rezidivierenden depressiven Störung, welche der Gutachter anlässlich der Exploration vom 9. Januar 2019 nicht mehr als mittelgradig, sondern nur noch als leichtgradig ausgeprägt erheben konnte, diagnostizierte auch er zusätzlich einzig eine Persönlichkeitsakzentuierung mit emotional-instabilen, zwanghaft perfektionistischen und narzisstischen Zügen. Die bis vor einigen Jahren sehr erfolgreiche berufliche Laufbahn und unauffällige äussere Biographie seien nicht mit der Diagnose einer Persönlichkeitsstörung vereinbar. Zwar schloss auch Dr. med. C.________ auf eine volle Arbeitsunfähigkeit in der angestammten Tätigkeit als Projektleiter/Biologe. Eine angepasste, weit unter dem bisherigen intellektuellen und beruflichen Niveau liegende einfache Tätigkeit (z.B. leichte handwerkliche oder leichtere kaufmännisch-administrative Beschäftigung) sei ihm nunmehr im Begutachtungszeitpunkt jedoch vollschichtig zumutbar.</w:t>
      </w:r>
    </w:p>
    <w:p>
      <w:r>
        <w:rPr>
          <w:b/>
        </w:rPr>
        <w:t>E. 4.3</w:t>
      </w:r>
    </w:p>
    <w:p>
      <w:r>
        <w:t>Soweit das kantonale Gericht nach bundesrechtskonformer Beweiswürdigung (vgl. E. 1.3 hiervor) auf die Beurteilung des Dr. med. C.________ abstellte,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 8C_660/2022 vom 25. Mai 2023 E. 4.2 mit Hinweisen; vgl. auch BGE 145 V 361 E. 4.1.2 und SVR 2017 IV Nr. 5 S. 10, 9C_634/2015 E. 6.1 i.f., je Hinweisen). Dr. med. C.________ schloss entgegen der aktuell behandelnden Psychiaterin med. pract. E.________ und der Psychotherapeutin F.________ die Diagnose einer Persönlichkeitsstörung aus, weil er die erhobenen Symptome und Defizite nicht als gravierend genug einschätzte. Dabei ist rechtsprechungsgemäss der Erfahrungstatsache Rechnung zu tragen, dass behandelnde Ärzte im Hinblick auf ihre auftragsrechtliche Vertrauensstellung in Zweifelsfällen mitunter eher zugunsten ihrer Patienten aussagen. Dies gilt grundsätzlich nicht nur für Hausärzte (vgl. BGE 135 V 465 E. 4.5; 125 V 351 E. 3a/cc), sondern auch für spezialärztlich behandelnde Medizinalpersonen (Urteil 8C_660/2022 vom 25. Mai 2023 E. 5.4 mit Hinweis).</w:t>
      </w:r>
    </w:p>
    <w:p>
      <w:r>
        <w:rPr>
          <w:b/>
        </w:rPr>
        <w:t>E. 4.4</w:t>
      </w:r>
    </w:p>
    <w:p>
      <w:r>
        <w:t>Der Beschwerdeführer zeigt nicht auf, und es ist auch nicht ersichtlich, inwiefern das im Verfahren nach Art. 44 ATSG eingeholte psychiatrische Gutachten den praxisgemässen Anforderungen an eine Expertise nicht genüge, nicht lege artis erstellt worden sei oder konkrete Indizien gegen dessen Zuverlässigkeit sprächen (vgl. BGE 135 V 465 E. 4.4 mit Hinweisen). Zudem ist, wie bereits erwähnt (vgl. E. 4.3), dem Umstand Rechnung zu tragen, dass die medizinische Folgenabschätzung notgedrungen eine hohe Variabilität aufweist und unausweichlich Ermessenszüge trägt ( BGE 145 V 361 E. 4.1.2 mit Hinweisen). Der Beschwerdeführer legt nicht substanziiert dar (vgl. E. 1.2) und es ist nicht ersichtlich, inwiefern die Vorinstanz das ihr als Sachgericht im Rahmen der Beweiswürdigung zustehende Ermessen (E. 1.3) in Verletzung des Willkürverbots missbraucht haben soll. Was er gegen die vorinstanzliche Ermittlung der für die Invaliditätsgradbemessung ausschlaggebenden Vergleichseinkommen vorbringt, beschränkt sich im Wesentlichen auf appellatorische Kritik am angefochtenen Urteil, worauf nicht weiter einzugehen ist (vgl. E. 1.3 i.f.). Demnach hat es bei der auf einem Invaliditätsgrad von 30% basierenden Verneinung eines Rentenanspruch ab 1. Februar 2019 sein Bewenden.</w:t>
      </w:r>
    </w:p>
    <w:p>
      <w:r>
        <w:rPr>
          <w:b/>
        </w:rPr>
        <w:t>E. 5</w:t>
      </w:r>
    </w:p>
    <w:p>
      <w:r>
        <w:t>Da die Beschwerde offensichtlich unbegründet ist, wird sie im vereinfachten Verfahren nach Art. 109 Abs. 2 lit. a BGG mit summarischer Begründung und unter Hinweis auf die Erwägungen im angefochtenen Entscheid ( Art. 109 Abs. 3 BGG ) erledigt.</w:t>
      </w:r>
    </w:p>
    <w:p>
      <w:r>
        <w:rPr>
          <w:b/>
        </w:rPr>
        <w:t>E. 6</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