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139/2009 vom 26. August 2009</w:t>
      </w:r>
    </w:p>
    <w:p>
      <w:r>
        <w:t>Bundesgericht, 2009-08-26, DE</w:t>
      </w:r>
    </w:p>
    <w:p>
      <w:r>
        <w:rPr>
          <w:b/>
        </w:rPr>
        <w:t xml:space="preserve">Quelle: </w:t>
      </w:r>
      <w:r>
        <w:t>https://mcp.opencaselaw.ch/entscheid/bger_8C_139_2009</w:t>
      </w:r>
    </w:p>
    <w:p>
      <w:r>
        <w:t>FR: TF 8C 139/2009 du 26 août 2009</w:t>
      </w:r>
    </w:p>
    <w:p>
      <w:r>
        <w:t>IT: TF 8C 139/2009 del 26 agosto 2009</w:t>
      </w:r>
    </w:p>
    <w:p>
      <w:pPr>
        <w:pStyle w:val="Heading2"/>
      </w:pPr>
      <w:r>
        <w:t>Regeste</w:t>
      </w:r>
    </w:p>
    <w:p>
      <w:r>
        <w:t>Unfallversicherung | Unfallversicherung</w:t>
      </w:r>
    </w:p>
    <w:p>
      <w:pPr>
        <w:pStyle w:val="Heading2"/>
      </w:pPr>
      <w:r>
        <w:t>Erwägungen</w:t>
      </w:r>
    </w:p>
    <w:p>
      <w:r>
        <w:rPr>
          <w:b/>
        </w:rPr>
        <w:t>E. 1</w:t>
      </w:r>
    </w:p>
    <w:p>
      <w:r>
        <w:t>Der vorinstanzliche Entscheid lautet unter anderem auf Rückweisung der Sache an den Unfallversicherer, dies in Bezug auf den Rentenanspruch. Es stellt sich im Lichte der Art. 90 ff. BGG und der dazu ergangenen Rechtsprechung die Frage, ob ein mittels Beschwerde anfechtbarer Entscheid vorliegt. Das ist zu bejahen. Die Beschwerde richtet sich ausschliesslich gegen die vom kantonalen Gericht - in Bestätigung des Einspracheentscheids - vorgenommene Festsetzung der Integritätsschadens, welcher dem Anspruch auf Integritätsentschädigung zugrunde zu legen ist. Der vorinstanzliche Entscheid stellt diesbezüglich einen selbstständig anfechtbaren Teilentscheid im Sinne Art. 91 lit. a BGG dar (vgl. BGE 135 V 141 E. 1.4.1 S. 144 mit Hinweisen; Urteil 8C_420/2008 vom 31. März 2009 E. 1.3).</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Im Einsprache- und im angefochtenen Entscheid sind die Bestimmungen über den Anspruch auf eine Integritätsentschädigung ( Art. 24 und 25 UVG ; Art. 36 UVV ) und die Grundsätze über die Feststellung des Integritätsschadens durch Anwendung der Skala in Anhang 3 zur UVV sowie der von der Medizinischen Abteilung der SUVA erarbeiteten Tabellen (sog. Feinraster) zutreffend dargelegt. Zu ergänzen ist, dass in dem seit Anfang 2004 geltenden Wortlaut der genannten Bestimmungen nebst der bereits davor ausdrücklich erwähnten Schädigung der körperlichen und geistigen Integrität nunmehr auch die Schädigung der psychischen Integrität ausdrücklich erwähnt wird. Ein Anspruch auf Integritätsentschädigung bei Schädigung der psychischen Integrität war bis dahin bereits aufgrund der Rechtsprechung ( BGE 124 V 29 und 209) anerkannt worden.</w:t>
      </w:r>
    </w:p>
    <w:p>
      <w:r>
        <w:rPr>
          <w:b/>
        </w:rPr>
        <w:t>E. 4</w:t>
      </w:r>
    </w:p>
    <w:p>
      <w:r>
        <w:t>Die SUVA hat eine Integritätsentschädigung einzig für die Kopfschmerzen zugesprochen und die Integritätseinbusse auf 15 % festgesetzt. Sie stützte sich dabei namentlich auf den Bericht der Frau Dr. med. A.________, Fachärztin für Neurologie FMH, Abteilung Versicherungsmedizin der SUVA, vom 27. August 2007. Das kantonale Gericht hat dies bestätigt.</w:t>
      </w:r>
    </w:p>
    <w:p>
      <w:r>
        <w:rPr>
          <w:b/>
        </w:rPr>
        <w:t>E. 5</w:t>
      </w:r>
    </w:p>
    <w:p>
      <w:r>
        <w:t>Der Beschwerdeführer macht zunächst geltend, der Integritätsschaden aufgrund der Kopfschmerzen sei höher anzusetzen.</w:t>
      </w:r>
    </w:p>
    <w:p>
      <w:r>
        <w:rPr>
          <w:b/>
        </w:rPr>
        <w:t>E. 5.1</w:t>
      </w:r>
    </w:p>
    <w:p>
      <w:r>
        <w:t>Die SUVA hat den entsprechenden Integritätsschaden in hilfsweiser Anwendung der SUVA-Tabelle 7 "Integritätsschaden bei Wirbelsäulenaffektionen" bestimmt. Das kantonale Gericht ist ihr darin gefolgt. Dagegen werden keine Einwendungen erhoben. Umstritten ist, wie hoch der Integritätsschaden innerhalb dieser Tabelle anzusetzen ist. Im Bericht der Frau Dr. med. A.________ vom 27. August 2007 wird ausgeführt, die Kopfschmerzen seien auf der Schmerzfunktionsskala gemäss Tabelle 7 zwischen der Kategorie ++ (geringe Dauerschmerzen, bei Belastung verstärkt, auch in Ruhe) und der Kategorie +++ (+/- starke Dauerschmerzen, Zusatzbelastung nicht möglich, auch nachts und in Ruhe) auszugehen. Das Spektrum des Integritätsschadens betrage zwischen 5 % und 40 %, wobei es sich im höheren Bereich um Schmerzen mit Funktionseinschränkung und organischem Korrelat handle. Pathologisch-anatomische Veränderungen hätten beim Versicherten nicht nachgewiesen werden können. Es bestehe somit ein Integritätsschaden von 15 %, entsprechend dem Mittelwert der Kategorie ++ und einem Wert aus dem unteren Bereich der Kategorie +++, was sich durch die fehlende strukturelle Läsion begründe.</w:t>
      </w:r>
    </w:p>
    <w:p>
      <w:r>
        <w:rPr>
          <w:b/>
        </w:rPr>
        <w:t>E. 5.2</w:t>
      </w:r>
    </w:p>
    <w:p>
      <w:r>
        <w:t>Das kantonale Gericht ist wie bereits die SUVA zum Ergebnis gekommen, dies sei plausibel und nachvollziehbar. Entgegen der Auffassung des Beschwerdeführers liege keine schwere Funktionseinschränkung vor und treffe nicht zu, dass dem Nachweis eines organischen Korrelats bei Tabelle 7 keine Bedeutung zukomme. Der Versicherte könne auch keine ärztlichen Berichte anführen, welche die Bemessung des Integritätsschadens durch die SUVA widerlegten oder zumindest in Frage stellten. Die vorinstanzliche Würdigung der Sach- und Rechtslage ist nicht zu beanstanden. Was in der Beschwerde vorgebracht wird, führt zu keiner anderen Betrachtungsweise. Der Versicherte beschränkt sich im Wesentlichen auf die im angefochtenen Entscheid, auf den verwiesen wird, überzeugend entkräfteten Vorbringen. Namentlich sind entgegen der in der Beschwerde vertretenen Auffassung die Aussagen der Frau Dr. med. A.________ als verlässliche Beurteilungsgrundlage anzusehen (zu den Anforderungen an einen beweiswertigen Arztbericht: BGE 125 V 351 E. 3 S. 352 ff., insbes. E. 3a S. 352 und E. 3b/ee S. 353 f.). Auch ist von weiteren medizinischen Abklärungen abzusehen, da diese keinen entscheidrelevanten neuen Aufschluss erwarten lassen.</w:t>
      </w:r>
    </w:p>
    <w:p>
      <w:r>
        <w:rPr>
          <w:b/>
        </w:rPr>
        <w:t>E. 6.1</w:t>
      </w:r>
    </w:p>
    <w:p>
      <w:r>
        <w:t>Der Versicherte macht weiter geltend, er leide auch an mittelschweren bis schweren neuropsychologischen Funktionsstörungen und manifesten Wesensveränderungen resp. einem selbstständigen psychischen Krankheitsbild. Dadurch werde die Integrität ebenfalls beeinträchtigt, was in Anwendung der SUVA-Tabelle 8 "Integritätsschaden bei psychischen Folgen von Hirnverletzungen" zu berücksichtigen sei. Das kantonale Gericht hat hiezu erwogen, die neuropsychologischen Funktionsstörungen stammten in einem nicht unerheblichen Masse vom nicht SUVA-versicherten Unfall von 1980. Sodann sei die SUVA-Tabelle 8 nicht anwendbar, weil keine strukturelle Hirnschädigung dokumentiert sei. Die durchgeführten Untersuchungen mittels CT, EEG und MRI hätten völlig unauffällige Befunde ergeben. Nach Lage der Akten trifft zu, dass kein unfallbedingter organischer Gesundheitsschaden nachweisbar ist. Das Auftreten von neuropsychologischen Funktionsstörungen genügt entgegen der in der Beschwerde vertretenen Auffassung nicht, um auf einen solchen Gesundheitsschaden schliessen zu können. Damit ist die vom Versicherten für massgeblich erachteten Tabelle 8, welche eine medizinisch dokumentierte hirnorganische Schädigung voraussetzt, nicht anwendbar. Weitere medizinische Abklärungen sind auch hiezu nicht erforderlich. Dass in anderen Fällen Integritätsentschädigungen aufgrund von neuropsychologischen Störungen zugesprochen wurden, führt zu keiner anderen Betrachtungsweise, zumal sich die jeweiligen Konstellationen kaum mit der vorliegenden vergleichen lassen.</w:t>
      </w:r>
    </w:p>
    <w:p>
      <w:r>
        <w:rPr>
          <w:b/>
        </w:rPr>
        <w:t>E. 6.2</w:t>
      </w:r>
    </w:p>
    <w:p>
      <w:r>
        <w:t>Soweit in der Beschwerde mit einer psychischen Unfallfolge argumentiert wird, ist zu beachten, dass nach der auf die herrschende psychiatrische Lehrmeinung gestützten Rechtsprechung nur Unfallereignisse von aussergewöhnlicher Schwere zu dauerhaften Beeinträchtigungen der Integrität führen können ( BGE 124 V 29 E. 5c/bb S. 44 und 209 E. 4b S. 213; vgl. auch RKUV 2000 Nr. U 381 S. 251, U 172/99). Dieses Erfordernis ist mit Blick auf die beiden hier zur Diskussion stehenden Velounfälle zweifellos nicht erfüllt.</w:t>
      </w:r>
    </w:p>
    <w:p>
      <w:r>
        <w:rPr>
          <w:b/>
        </w:rPr>
        <w:t>E. 7</w:t>
      </w:r>
    </w:p>
    <w:p>
      <w:r>
        <w:t>Der angefochtene Entscheid ist demnach in allen Teilen rechtmässig. An diesem Ergebnis vermögen sämtliche weiteren Vorbringen des Versicherten nichts zu ändern.</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