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8C_139/2007 vom 30. Mai 2008</w:t>
      </w:r>
    </w:p>
    <w:p>
      <w:r>
        <w:t>Bundesgericht, 2008-05-30, DE</w:t>
      </w:r>
    </w:p>
    <w:p>
      <w:r>
        <w:rPr>
          <w:b/>
        </w:rPr>
        <w:t xml:space="preserve">Quelle: </w:t>
      </w:r>
      <w:r>
        <w:t>https://mcp.opencaselaw.ch/entscheid/bger_8C_139_2007</w:t>
      </w:r>
    </w:p>
    <w:p>
      <w:r>
        <w:t>FR: TF 8C_139/2007 du 30 mai 2008</w:t>
      </w:r>
    </w:p>
    <w:p>
      <w:r>
        <w:t>IT: TF 8C_139/2007 del 30 maggio 2008</w:t>
      </w:r>
    </w:p>
    <w:p>
      <w:pPr>
        <w:pStyle w:val="Heading2"/>
      </w:pPr>
      <w:r>
        <w:t>Erwägungen</w:t>
      </w:r>
    </w:p>
    <w:p>
      <w:r>
        <w:rPr>
          <w:b/>
        </w:rPr>
        <w:t>E. 1</w:t>
      </w:r>
    </w:p>
    <w:p>
      <w:r>
        <w:t>Die Beschwerde in öffentlich-rechtlichen Angelegenheiten ( Art. 82 ff. BGG ) kann wegen Rechtsverletzung gemäss Art. 95 und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w:t>
      </w:r>
    </w:p>
    <w:p>
      <w:r>
        <w:t>Streitig und zu prüfen ist die Rechtsfrage, ob die Ausrichtung der jährlichen Ergänzungsleistungen zur Invalidenrente des Beschwerdegegners während der Dauer der Untersuchungshaft und des vorzeitigen Strafvollzuges eingestellt werden kann.</w:t>
      </w:r>
    </w:p>
    <w:p>
      <w:r>
        <w:rPr>
          <w:b/>
        </w:rPr>
        <w:t>E. 2.1</w:t>
      </w:r>
    </w:p>
    <w:p>
      <w:r>
        <w:t>Die Sozialversicherungsanstalt des Kantons St. Gallen begründete die Einstellung der Ergänzungsleistungen per 31. Oktober 2005 in der Verfügung vom 3. November 2005 und im Einspracheentscheid vom 27. März 2006 damit, dass die Sistierung der Invalidenrente gemäss Art. 2c lit. a ELG zwingend auch diejenige der Ergänzungsleistungen zur Folge habe.</w:t>
      </w:r>
    </w:p>
    <w:p>
      <w:r>
        <w:rPr>
          <w:b/>
        </w:rPr>
        <w:t>E. 2.2</w:t>
      </w:r>
    </w:p>
    <w:p>
      <w:r>
        <w:t>Die Vorinstanz demgegenüber legte im Entscheid vom 27. Februar 2007 dar, dass die persönliche Voraussetzung zum Bezug von Ergänzungsleistungen gemäss Art. 2c lit. a ELG nicht in der tatsächlichen Ausrichtung einer Invalidenrente, sondern im Bestehen eines Anspruchs auf eine solche bestehe. Diese Voraussetzung - so das kantonale Gericht - sei während der ganzen Dauer der Untersuchungshaft und des vorzeitigen Strafvollzugs erfüllt, unabhängig davon, ob die Ausrichtung der Invalidenrente gestützt auf Art. 21 Abs. 5 ATSG ganz oder teilweise sistiert sei. Art. 21 Abs. 5 ATSG sodann sei auf Ergänzungsleistungen nicht anwendbar, da ihnen nicht der Charakter eines Erwerbsersatzes zukomme. Zu prüfen sei demzufolge eine Revision oder Anpassung der Ergänzungsleistungen gemäss Art. 17 Abs. 2 ATSG und Art. 25 ELV zufolge einer Änderung der wirtschaftlichen Verhältnisse des Beschwerdegegners in der Untersuchungshaft und im vorzeitigen Strafvollzug. Dabei sei jedoch zu beachten, dass nicht über die Ausrichtung von Ergänzungsleistungen der aus der Sistierung der Invalidenrente resultierende Einkommensausfall ausgeglichen werde.</w:t>
      </w:r>
    </w:p>
    <w:p>
      <w:r>
        <w:rPr>
          <w:b/>
        </w:rPr>
        <w:t>E. 2.3</w:t>
      </w:r>
    </w:p>
    <w:p>
      <w:r>
        <w:t>Beschwerdeweise macht die Sozialversicherungsanstalt des Kantons St. Gallen geltend, es könne offen bleiben, ob der Anspruch auf Ergänzungsleistungen an den tatsächlichen Bezug einer Invalidenrente oder aber an den Anspruch auf eine solche anknüpfe, da Art. 21 Abs. 5 ATSG auch auf die dem Beschwerdegegner zur Invalidenrente ausgerichteten jährlichen Ergänzungsleistungen anwendbar sei. Diese Auffassung teilt das Bundesamt für Sozialversicherungen.</w:t>
      </w:r>
    </w:p>
    <w:p>
      <w:r>
        <w:rPr>
          <w:b/>
        </w:rPr>
        <w:t>E. 3.1</w:t>
      </w:r>
    </w:p>
    <w:p>
      <w:r>
        <w:t>Die Auszahlung von Geldleistungen mit Erwerbsersatzcharakter kann gemäss Art. 21 Abs. 5 ATSG ganz oder teilweise eingestellt werden, solange sich die versicherte Person im Straf- oder Massnahmenvollzug befindet; ausgenommen sind die Geldleistungen für Angehörige im Sinne von Art. 21 Abs. 3 ATSG . Im Urteil 8C_176/2007 vom 25. Oktober 2007 in Sachen BSV/Beschwerdegegner hat das Bundesgericht die bisherige Rechtsprechung bestätigt, wonach - in Abweichung vom Wortlaut der Norm - Untersuchungshaft von einer Dauer von mehr als drei Monaten in gleicher Weise Anlass zur Sistierung gibt wie jede andere Form des von einer Strafbehörde angeordneten Freiheitsentzuges ( BGE 133 V 1 ). Gleichzeitig hat es entschieden, dass dies erst recht für den vorzeitigen Strafvollzug gilt, der näher beim in der Bestimmung erwähnten Straf- und Massnahmenvollzug anzusiedeln ist als die Untersuchungshaft. Bezüglich Charakter des Art. 21 Abs. 5 ATSG als Kann-Vorschrift hat das Gericht an der Rechtsprechung festgehalten, wonach sich eine Sistierung der Rentenleistungen lediglich dort nicht rechtfertigt, wo die Vollzugsart der verurteilten versicherten Person die Möglichkeit bietet, eine Erwerbstätigkeit auszuüben und somit selber für die Lebensbedürfnisse aufzukommen, wie beispielsweise in der Halbgefangenschaft oder Halbfreiheit ( BGE 133 V 1 E. 4.2.4.1 S. 6), und klargestellt, dass die Arbeitspflicht des Gefangenen gemäss Art. 81 Abs. 1 StGB nicht unter diese Erwerbstätigkeit fällt.</w:t>
      </w:r>
    </w:p>
    <w:p>
      <w:r>
        <w:rPr>
          <w:b/>
        </w:rPr>
        <w:t>E. 3.2</w:t>
      </w:r>
    </w:p>
    <w:p>
      <w:r>
        <w:t>Renten der Invalidenversicherung sind Geldleistungen mit Erwerbsersatzcharakter im Sinne von Art. 21 Abs. 5 ATSG , was unbestritten ist. Übersteigen die anerkannten Ausgaben einer invaliden Person mit Anspruch auf eine Invalidenrente die anrechenbaren Einnahmen, wozu die Rente zählt, hat die invalide Person zusätzlich Anspruch auf jährliche Ergänzungsleistungen im Betrag dieser Differenz ( Art. 2c lit. a und Art. 3a Abs. 1 ELG ). Die jährlichen Ergänzungsleistungen zur Invalidenrente sind Geldleistungen ( Art. 3 Abs. 2 ELG ) und knüpfen zumeist, wie das Bundesamt für Sozialversicherungen geltend macht, an den Erwerbsausfall an. Sie bezwecken die Ergänzung des durch die Invalidenrenten zuzüglich allfälligem übrigen Einkommen nicht ganz abgedeckten Ersatzes des Erwerbsausfalls. Wohl decken sie, wie Vorinstanz und Beschwerdegegner darlegen, das Risiko der Armut ab, aber eben nicht der Armut schlechthin, sondern nur der Armut zufolge invaliditätsbedingten Verlusts der Erwerbsfähigkeit. Aufgrund ihres Charakters als Bedarfsleistung, nicht als Fürsorgeleistung, orientieren sie sich betragsmässig an der Existenzsicherung und nicht am vorangegangenen Erwerbseinkommen. Dies ändert jedoch nichts am Charakter der jährlichen Ergänzungsleistung zur Invalidenrente als Geldleistung mit Erwerbsersatzcharakter und demzufolge an der Anwendbarkeit von Art. 21 Abs. 5 ATSG (vgl. auch Kieser, ATSG-Kommentar, N 80 zu Art. 21 ATSG ).</w:t>
      </w:r>
    </w:p>
    <w:p>
      <w:r>
        <w:rPr>
          <w:b/>
        </w:rPr>
        <w:t>E. 3.3</w:t>
      </w:r>
    </w:p>
    <w:p>
      <w:r>
        <w:t>Da demzufolge die jährlichen Ergänzungsleistungen zur Invalidenrente unter die Geldleistungen mit Erwerbsersatzcharakter gemäss Art. 21 Abs. 5 ATSG zu subsumieren sind, ist deren Auszahlung während der Dauer der Untersuchungshaft und des vorzeitigen Strafvollzuges zu Recht eingestellt worden. Bei diesem Ergebnis kann offen bleiben, ob der Anspruch auf Ergänzungsleistungen zur Invalidenrente an die tatsächliche Ausrichtung dieser Rente oder aber an den Anspruch auf eine solche anknüpft.</w:t>
      </w:r>
    </w:p>
    <w:p>
      <w:r>
        <w:rPr>
          <w:b/>
        </w:rPr>
        <w:t>E. 4</w:t>
      </w:r>
    </w:p>
    <w:p>
      <w:r>
        <w:t>Die Gerichtskosten werden dem unterliegenden Beschwerdegegner auferlegt ( Art.66 Abs. 1 BGG ). Gleichzeitig wird ihm die unentgeltliche Rechtspflege (Prozessführung und Verbeiständung; Art. 64 BGG ) gewährt, da die hiefür erforderlichen Voraussetzungen (Bedürftigkeit, Gebotenheit einer Verbeiständung) gegeben sind ( BGE 125 V 201 E. 4a S. 202 und 371 E. 5b S. 372, je mit Hinweisen).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