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8C_138/2020 vom 24. April 2020</w:t>
      </w:r>
    </w:p>
    <w:p>
      <w:r>
        <w:t>Bundesgericht, 2020-04-24, DE</w:t>
      </w:r>
    </w:p>
    <w:p>
      <w:r>
        <w:rPr>
          <w:b/>
        </w:rPr>
        <w:t xml:space="preserve">Quelle: </w:t>
      </w:r>
      <w:r>
        <w:t>https://mcp.opencaselaw.ch/entscheid/bger_8C_138_2020</w:t>
      </w:r>
    </w:p>
    <w:p>
      <w:r>
        <w:t>FR: TF 8C_138/2020 du 24 avril 2020</w:t>
      </w:r>
    </w:p>
    <w:p>
      <w:r>
        <w:t>IT: TF 8C_138/2020 del 24 aprile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die Vorinstanz Bundesrecht verletzt hat, indem sie in Verneinung der Vorleistungspflicht den Einspracheentscheid der Arbeitslosenkasse vom 25. Mai 2016 schützte.</w:t>
      </w:r>
    </w:p>
    <w:p>
      <w:r>
        <w:rPr>
          <w:b/>
        </w:rPr>
        <w:t>E. 2.2.1</w:t>
      </w:r>
    </w:p>
    <w:p>
      <w:r>
        <w:t>Art. 8 Abs. 1 AVIG zählt die für die Arbeitslosenentschädigung massgeblichen Anspruchsvoraussetzungen auf. Dazu gehört, dass der Versicherte einen anrechenbaren Arbeitsausfall erlitten hat ( Art. 8 Abs. 1 lit. b AVIG ). Nach Art. 11 Abs. 1 AVIG ist ein Arbeitsausfall anrechenbar, wenn er einen Verdienstausfall zur Folge hat und mindestens zwei aufeinander folgende volle Arbeitstage dauert (vgl. BORIS RUBIN, Commentaire de la loi sur l'assurance-chômage, 2014, N. 14 zu Art. 11 AVIG S. 108). Ferner gehört zu den Anspruchsvoraussetzungen nach Art. 8 Abs. 1 lit. f AVIG in Verbindung mit Art. 15 Abs. 1 AVIG die Vermittlungsfähigkeit, d.h. die versicherte Person muss bereit, in der Lage und berechtigt sein,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136 V 95 E. 5.1 S. 97).</w:t>
      </w:r>
    </w:p>
    <w:p>
      <w:r>
        <w:t>Nach Art. 15 Abs. 2 Satz 1 AVIG gilt der körperlich oder geistig Behinderte als vermittlungsfähig, wenn ihm bei ausgeglichener Arbeitsmarktlage, unter Berücksichtigung seiner Behinderung, auf dem Arbeitsmarkt eine zumutbare Arbeit vermittelt werden könnte ( BGE 136 V 195 E. 3.1 S. 197 f.).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 ( BGE 142 V 380 E. 3.1 S. 381 f.).</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142 V 380 E. 3.2 S. 382; 136 V 95 E. 7.1 S. 101). 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w:t>
      </w:r>
    </w:p>
    <w:p>
      <w:r>
        <w:rPr>
          <w:b/>
        </w:rPr>
        <w:t>E. 2.2.2</w:t>
      </w:r>
    </w:p>
    <w:p>
      <w:r>
        <w:t>Sobald das Ausmass der Erwerbsunfähigkeit durch Vorbescheid oder Verfügung der andern Sozialversicherung feststeht, endet die Vorleistungspflicht der Arbeitslosenversicherung (vgl. BGE 142 V 380 E. 3.2 S. 382; 136 V 195 E. 7.4 S. 205; ARV 2011 S. 55, 8C_651/2009). Der versicherte Verdienst ( Art. 23 Abs. 1 AVIG in Verbindung mit Art. 40b AVIV ) wird rückwirkend auf den Zeitpunkt der Einschränkung der Erwerbsunfähigkeit angepasst ( BGE 136 V 95 E. 7.1 S. 101; 132 V 357 ; SVR 2014 ALV Nr. 12 S. 37, 8C_53/2014). Grundsätzlich bildet die (noch nicht rechtskräftige) Verfügung der Invalidenversicherung oder einer anderen Sozialversicherung hinreichende Grundlage für die Anpassung des versicherten Verdienstes an den damit erkannten Grad der Erwerbsunfähigkeit oder zumindest an den nicht umstrittenen Prozentsatz des errechneten Invaliditätsgrades ( BGE 145 V 399 E. 4.1.3 S. 405; 142 V 380 E. 5.5 S. 388).</w:t>
      </w:r>
    </w:p>
    <w:p>
      <w:r>
        <w:rPr>
          <w:b/>
        </w:rPr>
        <w:t>E. 3.1</w:t>
      </w:r>
    </w:p>
    <w:p>
      <w:r>
        <w:t>Die Vorinstanz erwog, mit Blick auf den von der Invalidenversicherung mit Verfügung vom 5. August 2014 ermittelten Invaliditätsgrad von 15 % habe die Arbeitslosenkasse den versicherten Verdienst korrekt angepasst und diesen auf Fr. 10'153.- festgesetzt (85 % von Fr. 11'945.-). Dies ergebe eine Arbeitslosenentschädigung von Fr. 7'106.75 pro Monat (70 % von Fr. 10'153.-). Da der Versicherte ab 1. November 2014 monatlich Fr. 7'167.45 (Fr. 5'513.- + 13. Monatslohn + Funktionszulage) verdiene, erleide er keinen anrechenbaren Arbeitsausfall nach Art. 11 AVIG . Nicht zu hören sei der Beschwerdeführer mit dem Einwand, die Funktionszulage von Fr. 5'972.45 sei ebenfalls 13 Mal jährlich ausgerichtet worden, weshalb der versicherte Verdienst Fr. 12'442.65 betrage (Fr. 11'485.50 x 13 : 12).</w:t>
      </w:r>
    </w:p>
    <w:p>
      <w:r>
        <w:rPr>
          <w:b/>
        </w:rPr>
        <w:t>E. 3.2</w:t>
      </w:r>
    </w:p>
    <w:p>
      <w:r>
        <w:t>Der Beschwerdeführer wendet dagegen einzig ein, der Schwebezustand dauere immer noch an, da das Invalidenversicherungsverfahren noch nicht abgeschlossen sei. Nachdem das Verwaltungsgericht die Verfügung vom 10. August 2018, worin ein Invaliditätsgrad von 55 % festgelegt worden sei), aufgehoben und an die Verwaltung zurückgewiesen habe, sei seitens der IV-Stelle noch keine neue Verfügung ergangen. Gemäss Gutachten der Ärztlichen Begutachtungsinstitut (ABI) GmbH, Basel, vom 7. Januar 2020, sei der Beschwerdeführer ab 2011 lediglich zu 10 % arbeitsunfähig. Die Kürzung des arbeitslosenversicherungsrechtlichen Leistungsanspruchs während des Schwebezustands sei gesetzlich nicht vorgesehen. Hier bestehe keine Klarheit über das Mindestmass der Erwerbsunfähigkeit, weshalb noch keine Korrektur des versicherten Verdienstes erfolgen dürfe. Die IV-Verfügung vom 5. August 2014 existiere nicht mehr, da sie vom Bundesgericht nachträglich aufgehoben worden sei. Überdies sei durch den Umstand, dass die ABI-Expertise lediglich eine Arbeitsunfähigkeit von 10 % ausweise, die Korrektur des versicherten Verdienstes um 15 % nicht korrekt. Es bestehe ein Taggeldanspruch auf der Basis des ungekürzten versicherten Verdienstes.</w:t>
      </w:r>
    </w:p>
    <w:p>
      <w:r>
        <w:rPr>
          <w:b/>
        </w:rPr>
        <w:t>E. 4</w:t>
      </w:r>
    </w:p>
    <w:p>
      <w:r>
        <w:t>Mit seiner Argumentation verkennt der Beschwerdeführer, dass die Vorleistungspflicht der Arbeitslosenversicherung während des Schwebezustandes eine Übergangslösung darstellt und deshalb nicht auf eine lange Dauer angelegt ist. Sie soll im Zweifelsfall eine Leistungslücke während der laufenden Leistungsrahmenfrist verhindern. Dauern die Abklärungen der Invalidenversicherung länger, so kann die Arbeitslosenkasse nicht verpflichtet werden, Vorleistungen über mehrere Leistungsrahmenfristen hinweg zu erbringen (ARV 2019 S. 188, 8C_166/2018 E. 6.4). Wie das Bundesgericht in BGE 145 V 399 E. 4.1.3 S. 405 (unter Hinweis auf 142 V 380 E. 5.5 S. 388) klarstellte, bildet grundsätzlich die noch nicht rechtskräftige Verfügung der Invalidenversicherung hinreichende Grundlage für die Anpassung des versicherten Verdienstes an den damit erkannten Invaliditätsgrad (E. 2.2.2 hiervor). Bei der vorliegenden Konstellation, namentlich mit Blick auf die lange Dauer des Invalidenversicherungsverfahrens, hiervon abzuweichen, besteht kein Anlass (vgl. auch die Weisung des SECO in der AVIG-Praxis ALE Rz. C29 und B256d f., wonach nicht von Belang sei, ob die betroffene Person gegen den Entscheid der Invalidenversicherung ein Rechtsmittel erhebe. Die Korrektur des versicherten Verdienstes sei sofort nach Erlass des IV-Entscheids vorzunehmen). Dass die für die Anpassung des versicherten Verdienstes Grundlage bildende Verfügung vom 5. August 2014 nachträglich aufgehoben wurde, steht dem, wie das kantonale Gericht bereits zutreffend darlegte, nicht entgegen. Eine Bundesrechtsverletzung kann dem kantonalen Gericht nicht vorgeworfen werden. Die Beschwerde ist unbegründet.</w:t>
      </w:r>
    </w:p>
    <w:p>
      <w:r>
        <w:rPr>
          <w:b/>
        </w:rPr>
        <w:t>E. 5</w:t>
      </w:r>
    </w:p>
    <w:p>
      <w:r>
        <w:t>Das Verfahren ist kostenpflichtig (Art. 65 Abs. 1 und Abs. 4 lit. a BGG). Dem Verfahrensausgang entsprechend sind die Gerichtskosten dem unterliegenden Beschwerdeführer aufzuerlegen ( Art. 66 Abs. 1 BGG ; BGE 133 V 637 E. 4.6 S. 639).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