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8C_137/2020 vom 21. Februar 2020</w:t>
      </w:r>
    </w:p>
    <w:p>
      <w:r>
        <w:t>Bundesgericht, 2020-02-21, DE</w:t>
      </w:r>
    </w:p>
    <w:p>
      <w:r>
        <w:rPr>
          <w:b/>
        </w:rPr>
        <w:t xml:space="preserve">Quelle: </w:t>
      </w:r>
      <w:r>
        <w:t>https://mcp.opencaselaw.ch/entscheid/bger_8C_137_2020</w:t>
      </w:r>
    </w:p>
    <w:p>
      <w:r>
        <w:t>FR: TF 8C_137/2020 du 21 février 2020</w:t>
      </w:r>
    </w:p>
    <w:p>
      <w:r>
        <w:t>IT: TF 8C_137/2020 del 21 febbraio 2020</w:t>
      </w:r>
    </w:p>
    <w:p>
      <w:pPr>
        <w:pStyle w:val="Heading2"/>
      </w:pPr>
      <w:r>
        <w:t>Volltext</w:t>
      </w:r>
    </w:p>
    <w:p>
      <w:r>
        <w:t>Bundesgericht</w:t>
      </w:r>
    </w:p>
    <w:p>
      <w:r>
        <w:t>Tribunal fédéral</w:t>
      </w:r>
    </w:p>
    <w:p>
      <w:r>
        <w:t>Tribunale federale</w:t>
      </w:r>
    </w:p>
    <w:p>
      <w:r>
        <w:t>Tribunal federal</w:t>
      </w:r>
    </w:p>
    <w:p>
      <w:r>
        <w:t>8C_137/2020</w:t>
      </w:r>
    </w:p>
    <w:p>
      <w:r>
        <w:t>Urteil vom 21. Februar 2020</w:t>
      </w:r>
    </w:p>
    <w:p>
      <w:r>
        <w:t>I. sozialrechtliche Abteilung</w:t>
      </w:r>
    </w:p>
    <w:p>
      <w:r>
        <w:t>Besetzung</w:t>
      </w:r>
    </w:p>
    <w:p>
      <w:r>
        <w:t>Bundesrichter Maillard, Präsident,</w:t>
      </w:r>
    </w:p>
    <w:p>
      <w:r>
        <w:t>Gerichtsschreiber Grünvogel.</w:t>
      </w:r>
    </w:p>
    <w:p>
      <w:r>
        <w:t>Verfahrensbeteiligte</w:t>
      </w:r>
    </w:p>
    <w:p>
      <w:r>
        <w:t>A.________,</w:t>
      </w:r>
    </w:p>
    <w:p>
      <w:r>
        <w:t>vertreten durch Rechtsanwalt Michael Bütikofer,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20. Dezember 2019 (UV.2018.00233).</w:t>
      </w:r>
    </w:p>
    <w:p>
      <w:r>
        <w:t>Nach Einsicht</w:t>
      </w:r>
    </w:p>
    <w:p>
      <w:r>
        <w:t>in die Beschwerde vom 14. Februar 2020 gegen den Entscheid des Sozialversicherungsgerichts des Kantons Zürich vom 20. Dezember 2019,</w:t>
      </w:r>
    </w:p>
    <w:p>
      <w:r>
        <w:t>in Erwägung,</w:t>
      </w:r>
    </w:p>
    <w:p>
      <w:r>
        <w:t>dass es sich beim angefochtenen vorinstanzlichen Rückweisungsentscheid vom 20. Dezember 2019 um einen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bei der Beschwerde führenden Person ausgewiesen sein muss,</w:t>
      </w:r>
    </w:p>
    <w:p>
      <w:r>
        <w:t>dass solches hier nicht gegeben ist (vgl. BGE 133 V 477 E. 5.2.3 f. S. 484 f.), weil der Versicherte nach den von der Beschwerdegegnerin vorzunehmenden Abklärungen bzw. Berechnungen und der gestützt hierauf zu erlassenden neuen Verfügung Beschwerde gegen den Endentscheid wird erheben können ( Art. 93 Abs. 3 BGG ), ohne dass der angefochtene Entscheid im bundesgerichtlichen Verfahren präjudizierende Wirkung entfaltet,</w:t>
      </w:r>
    </w:p>
    <w:p>
      <w:r>
        <w:t>dass ebenso wenig ein Eintreten auf die Beschwerde gestützt auf Art. 93 Abs. 1 lit. b BGG angezeigt ist,</w:t>
      </w:r>
    </w:p>
    <w:p>
      <w:r>
        <w:t>dass nämlich, selbst wenn mit einer Gutheissung der Beschwerde direkt ein sofortiger Endentscheid herbeigeführt werden könnte und damit die im Rückweisungsentscheid angeordneten ergänzenden Sachverhaltsabklärungen bzw. Berechnungen obsolet würden, damit praxisgemäss kein bedeutender Aufwand an Zeit oder Kosten für ein weitläufiges Beweisverfahren im Sinne dieser Bestimmung erspart würde (statt vieler: BGE 133 V 477 E. 5.2.2 S. 483 oder SVR 2011 IV Nr. 57 [Urteil 8C_958/2010 vom 25. Februar 2011] E. 3.3.2.2),</w:t>
      </w:r>
    </w:p>
    <w:p>
      <w:r>
        <w:t>dass abgesehen davon solches auch nicht behauptet wird (zur diesbezüglichen Begründungspflicht: BGE 138 III 46 E. 1.2 S. 47; 137 III 324 E. 1.1 S. 328 f.; je mit Hinweisen),</w:t>
      </w:r>
    </w:p>
    <w:p>
      <w:r>
        <w:t>dass sich demzufolge die Beschwerde gegen den Zwischenentscheid insgesamt als offensichtlich unzulässig erweist, weshalb sie im vereinfachten Verfahren nach Art. 108 Abs. 1 lit. a BGG erledigt wird,</w:t>
      </w:r>
    </w:p>
    <w:p>
      <w:r>
        <w:t>dass die Beschwerdeführerin nach Art. 66 Abs. 1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21. Februar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