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8C_137/2009 vom 13. März 2009</w:t>
      </w:r>
    </w:p>
    <w:p>
      <w:r>
        <w:t>Bundesgericht, 2009-03-13, DE</w:t>
      </w:r>
    </w:p>
    <w:p>
      <w:r>
        <w:rPr>
          <w:b/>
        </w:rPr>
        <w:t xml:space="preserve">Quelle: </w:t>
      </w:r>
      <w:r>
        <w:t>https://mcp.opencaselaw.ch/entscheid/bger_8C_137_2009</w:t>
      </w:r>
    </w:p>
    <w:p>
      <w:r>
        <w:t>FR: TF 8C_137/2009 du 13 mars 2009</w:t>
      </w:r>
    </w:p>
    <w:p>
      <w:r>
        <w:t>IT: TF 8C_137/2009 del 13 marzo 2009</w:t>
      </w:r>
    </w:p>
    <w:p>
      <w:pPr>
        <w:pStyle w:val="Heading2"/>
      </w:pPr>
      <w:r>
        <w:t>Volltext</w:t>
      </w:r>
    </w:p>
    <w:p>
      <w:r>
        <w:t>Bundesgericht</w:t>
      </w:r>
    </w:p>
    <w:p>
      <w:r>
        <w:t>Tribunal fédéral</w:t>
      </w:r>
    </w:p>
    <w:p>
      <w:r>
        <w:t>Tribunale federale</w:t>
      </w:r>
    </w:p>
    <w:p>
      <w:r>
        <w:t>Tribunal federal</w:t>
      </w:r>
    </w:p>
    <w:p>
      <w:r>
        <w:t>{T 0/2}</w:t>
      </w:r>
    </w:p>
    <w:p>
      <w:r>
        <w:t>8C_137/2009</w:t>
      </w:r>
    </w:p>
    <w:p>
      <w:r>
        <w:t>Urteil vom 13. März 2009</w:t>
      </w:r>
    </w:p>
    <w:p>
      <w:r>
        <w:t>I. sozialrechtliche Abteilung</w:t>
      </w:r>
    </w:p>
    <w:p>
      <w:r>
        <w:t>Besetzung</w:t>
      </w:r>
    </w:p>
    <w:p>
      <w:r>
        <w:t>Bundesrichter Ursprung, Präsident,</w:t>
      </w:r>
    </w:p>
    <w:p>
      <w:r>
        <w:t>Gerichtsschreiber Batz.</w:t>
      </w:r>
    </w:p>
    <w:p>
      <w:r>
        <w:t>Parteien</w:t>
      </w:r>
    </w:p>
    <w:p>
      <w:r>
        <w:t>U.________, Beschwerdeführer,</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w:t>
      </w:r>
    </w:p>
    <w:p>
      <w:r>
        <w:t>vom 18. Dezember 2008.</w:t>
      </w:r>
    </w:p>
    <w:p>
      <w:r>
        <w:t>Nach Einsicht</w:t>
      </w:r>
    </w:p>
    <w:p>
      <w:r>
        <w:t>in die Beschwerde vom 6. Februar 2009 (Poststempel) gegen den Entscheid des Sozialversicherungsgerichts des Kantons Zürich vom 18. Dezember 2008 und das Gesuch um unentgeltliche Prozessführung,</w:t>
      </w:r>
    </w:p>
    <w:p>
      <w:r>
        <w:t>in die nach Erlass der Verfügung des Bundesgerichts vom 9. Februar 2009 betreffend fehlende Beilage am 17. Februar 2009 erfolgte Nachreichung des vollständigen vorinstanzlichen Entscheides,</w:t>
      </w:r>
    </w:p>
    <w:p>
      <w:r>
        <w:t>in die dem Bundesgericht von Dr. med. H.________ am 23. Februar 2009 (Poststempel) zugesandte Eingabe,</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dies setzt voraus, dass sich der Beschwerdeführer wenigstens kurz mit den Erwägungen des angefochtenen Entscheides auseinandersetzt ( BGE 134 II 244 E. 2.1 S. 245 f.),</w:t>
      </w:r>
    </w:p>
    <w:p>
      <w:r>
        <w:t>dass die Beschwerde diesen Begründungsanforderungen nicht genügt, indem die beim Bundesgericht eingereichte Rechtsschrift sich praktisch mit derjenigen deckt, welche der Beschwerdeführer vor Sozialversicherungsgericht eingereicht hat: mit Ausnahme eines im dritten Absatz der Beschwerdebegründung eingefügten Zusatzes ("und vom SVGW"), welchem im vorliegenden Zusammenhang keine Relevanz zukommt, entspricht die letztinstanzliche Begründung wortwörtlich der schon vor Sozialversicherungsgericht eingereichten; sie setzt sich somit in keiner Weise mit den Erwägungen des angefochtenen vorinstanzlichen Entscheides auseinander und legt nicht - auch nicht in gedrängter Form - dar, inwiefern diese Bundesrecht verletzen,</w:t>
      </w:r>
    </w:p>
    <w:p>
      <w:r>
        <w:t>dass daher die Beschwerdeschrift den Mindestanforderungen gemäss Art. 42 Abs. 2 BGG offensichtlich nicht genügt (vgl. BGE 134 II 244 E. 2.3 S. 246 f.),</w:t>
      </w:r>
    </w:p>
    <w:p>
      <w:r>
        <w:t>dass hieran auch die nachträgliche Eingabe des Dr. H.________ für den Beschwerdeführer vom 23. Februar 2009 (Poststempel) schon deshalb nichts ändert, weil sie nach Ablauf der Rechtsmittelfrist ( Art. 100 Abs. 1 BGG ) eingereicht worden ist,</w:t>
      </w:r>
    </w:p>
    <w:p>
      <w:r>
        <w:t>dass das Ansetzen einer Nachfrist zur Verbesserung der mangelhaften Rechtsschrift im Sinne von Art. 42 Abs. 1 und 2 BGG - im Gegensatz zu den in Art. 42 Abs. 5 und 6 BGG festgehaltenen Mängeln: vgl. BGE BGE 134 II 244 E. 2.4.2 S. 247 f. mit Hinweisen - ausser Betracht fällt,</w:t>
      </w:r>
    </w:p>
    <w:p>
      <w:r>
        <w:t>dass deshalb auf die offensichtlich unzulässige Beschwerde im vereinfachten Verfahren nach Art. 108 Abs. 1 lit. b BGG nicht einzutreten ist,</w:t>
      </w:r>
    </w:p>
    <w:p>
      <w:r>
        <w:t>dass für das bundesgerichtliche Verfahren ausnahmsweise keine Kosten erhoben werden ( Art. 66 Abs. 1 Satz 2 BGG ), weshalb sich das Gesuch des Beschwerdeführers um unentgeltliche Prozessführung als gegenstandslos erweist,</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März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