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8C_135/2020 vom 21. Februar 2020</w:t>
      </w:r>
    </w:p>
    <w:p>
      <w:r>
        <w:t>Bundesgericht, 2020-02-21, DE</w:t>
      </w:r>
    </w:p>
    <w:p>
      <w:r>
        <w:rPr>
          <w:b/>
        </w:rPr>
        <w:t xml:space="preserve">Quelle: </w:t>
      </w:r>
      <w:r>
        <w:t>https://mcp.opencaselaw.ch/entscheid/bger_8C_135_2020</w:t>
      </w:r>
    </w:p>
    <w:p>
      <w:r>
        <w:t>FR: TF 8C_135/2020 du 21 février 2020</w:t>
      </w:r>
    </w:p>
    <w:p>
      <w:r>
        <w:t>IT: TF 8C_135/2020 del 21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8C_135/2020</w:t>
      </w:r>
    </w:p>
    <w:p>
      <w:r>
        <w:t>Urteil vom 21. Februar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 vertreten durch Herr Milenko Markovic,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Kantonsgerichts Luzern vom 17. Dezember 2019 (5V 19 172).</w:t>
      </w:r>
    </w:p>
    <w:p>
      <w:r>
        <w:t>Nach Einsicht</w:t>
      </w:r>
    </w:p>
    <w:p>
      <w:r>
        <w:t>in die Beschwerde vom 14. Februar 2020 (Poststempel) gegen den gemäss postamtlicher Bescheinigung am 13. Januar 2020 an die damalige Rechtsvertretung von A.________ ausgehändigten Entscheid des Kantonsgerichts Luzern vom 17. Dezember 2019,</w:t>
      </w:r>
    </w:p>
    <w:p>
      <w:r>
        <w:t>in Erwägung,</w:t>
      </w:r>
    </w:p>
    <w:p>
      <w:r>
        <w:t>dass die Beschwerde nicht innert der nach Art. 100 Abs. 1 BGG 30-tägigen, gemäss Art. 44 - 48 BGG am 12. Februar 2020 abgelaufenen Rechtsmittelfrist eingereicht worden ist, was bereits Nichteintreten zur Folge hat,</w:t>
      </w:r>
    </w:p>
    <w:p>
      <w:r>
        <w:t>dass sie darüber hinaus den Mindestanforderungen gemäss Art. 42 Abs. 2 BGG offensichtlich nicht genügt,</w:t>
      </w:r>
    </w:p>
    <w:p>
      <w:r>
        <w:t>dass nämlich gemäss dieser Bestimmung in der Begründung in gedrängter Form darzulegen ist, inwiefern der angefochtene Akt Recht verletzt; dabei ist konkret auf die für das Ergebnis des angefochtenen Entscheids massgeblichen Erwägungen der Vorinstanz einzugehen und im Einzelnen aufzuzeigen, welche Vorschriften verletzt worden sind ( BGE 140 III 264 E. 2.3 S. 266; 134 V 53 E. 3.3 S. 60 und 133 IV 286 E. 1.4 S. 287),</w:t>
      </w:r>
    </w:p>
    <w:p>
      <w:r>
        <w:t>dass der Beschwerdeführer nichts Derartiges vorträgt; lediglich den Gesundheitszustand aus seiner Sicht zu schildern und daraus auf eine Leistungspflicht der Beschwerdegegnerin zu schliessen, reicht offensichtlich nicht aus,</w:t>
      </w:r>
    </w:p>
    <w:p>
      <w:r>
        <w:t>dass deshalb auf die Beschwerde im vereinfachten Verfahren nach Art. 108 Abs. 1 lit. a und b BGG nicht einzutreten ist,</w:t>
      </w:r>
    </w:p>
    <w:p>
      <w:r>
        <w:t>dass das Gesuch um unentgeltliche Rechtspflege wegen aussichtsloser Beschwerdeführung abzuweisen ist (Art. 64 Abs. 1 in fine BGG),</w:t>
      </w:r>
    </w:p>
    <w:p>
      <w:r>
        <w:t>dass indessen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Kantonsgericht Luzern, 3. Abteilung, und dem Bundesamt für Gesundheit schriftlich mitgeteilt.</w:t>
      </w:r>
    </w:p>
    <w:p>
      <w:r>
        <w:t>Luzern, 21. Februar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