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8C_135/2014 vom 24. Februar 2015</w:t>
      </w:r>
    </w:p>
    <w:p>
      <w:r>
        <w:t>Bundesgericht, 2015-02-24, FR</w:t>
      </w:r>
    </w:p>
    <w:p>
      <w:r>
        <w:rPr>
          <w:b/>
        </w:rPr>
        <w:t xml:space="preserve">Quelle: </w:t>
      </w:r>
      <w:r>
        <w:t>https://mcp.opencaselaw.ch/entscheid/bger_8C_135_2014</w:t>
      </w:r>
    </w:p>
    <w:p>
      <w:r>
        <w:t>FR: TF 8C_135/2014 du 24 février 2015</w:t>
      </w:r>
    </w:p>
    <w:p>
      <w:r>
        <w:t>IT: TF 8C_135/2014 del 24 febbraio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recourant conteste la suppression de son droit aux indemnités journalières à compter du 16 janvier 2012. La procédure porte ainsi sur le refus de prestations en espèces de l'assurance-accidents, de sorte que le Tribunal fédéral n'est pas lié par les faits établis par la juridiction précédente ( art. 105 al. 3 LTF ).</w:t>
      </w:r>
    </w:p>
    <w:p>
      <w:r>
        <w:t>Dans la mesure où l'intimée a renoncé à réclamer la restitution des indemnités journalières allouées jusqu'au 31 mai 2012, le litige porte sur le point de savoir si le recourant avait droit à des prestations en espèces du 1</w:t>
      </w:r>
    </w:p>
    <w:p>
      <w:r>
        <w:t>er juin 2012 au 15 août suivant, singulièrement sur l'existence d'un lien de causalité entre l'incapacité de travail persistant après le 31 mai 2012 et l'accident du 16 novembre 2011.</w:t>
      </w:r>
    </w:p>
    <w:p>
      <w:r>
        <w:rPr>
          <w:b/>
        </w:rPr>
        <w:t>E. 3</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et les références, 402 consid. 4.3.1 p. 406). 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w:t>
      </w:r>
    </w:p>
    <w:p>
      <w:r>
        <w:t>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129 V 177 consid. 3.1 p. 181; 402 consid. 4.3.1 p. 406; 119 V 335 consid. 1 p. 337; 118 V 286 consid. 1b p. 289 s. et les références).</w:t>
      </w:r>
    </w:p>
    <w:p>
      <w:r>
        <w:rPr>
          <w:b/>
        </w:rPr>
        <w:t>E. 4</w:t>
      </w:r>
    </w:p>
    <w:p>
      <w:r>
        <w:t>La cour cantonale se rallie à l'appréciation du docteur C.________, selon laquelle les troubles du poignet droit persistant après le 16 janvier 2012 découlent exclusivement de l'ancienne fracture de l'avant-bras droit, opérée il y a plusieurs années (rapport du 27 juillet 2012). Selon la juridiction précédente, l'intimée pouvait considérer que les opérations des 16 janvier et 14 mai 2012 n'avaient pas eu pour but de traiter les séquelles de l'accident du 16 novembre 2011, dans la mesure où celui-ci n'avait pas entraîné de fracture mais uniquement une contusion du poignet. Même en supposant que la première opération fût encore en relation de causalité avec cet événement, l'autorité cantonale considère que le</w:t>
      </w:r>
    </w:p>
    <w:p>
      <w:r>
        <w:t>statu quo sine a été atteint au 31 mai 2012 au plus tard. Quant à l'incapacité de travail postérieure à l'intervention du 14 mai 2012, elle ne pouvait être attribuée qu'aux suites de cette opération, laquelle avait clairement pour finalité de remédier à une séquelle de la fracture de l'avant-bras. Par ailleurs, selon la cour cantonale, le fait que les douleurs ne se soient manifestées qu'après l'accident assuré n'est pas déterminant, dans la mesure où les contusions subies à cette occasion "ont tout au plus constitué un facteur déclenchant des douleurs, qui seraient de toute façon survenues sans cet événement".</w:t>
      </w:r>
    </w:p>
    <w:p>
      <w:r>
        <w:t>Ainsi, la juridiction précédente est d'avis qu'il n'est pas possible de retenir, au degré de la vraisemblance prépondérante, l'existence d'une relation de causalité entre l'accident assuré et les troubles éprouvés par le recourant depuis l'opération du 16 janvier 2012.</w:t>
      </w:r>
    </w:p>
    <w:p>
      <w:r>
        <w:rPr>
          <w:b/>
        </w:rPr>
        <w:t>E. 5</w:t>
      </w:r>
    </w:p>
    <w:p>
      <w:r>
        <w:t>Le recourant critique ce point de vue. Il soutient que la chute du 16 novembre 2011 est à l'origine des atteintes qui ont entraîné son incapacité de travail jusqu'au 15 août 2012.</w:t>
      </w:r>
    </w:p>
    <w:p>
      <w:r>
        <w:t>A l'appui de son grief, il allègue qu'avant l'accident il ne ressentait aucune douleur significative au poignet, lequel ne présentait aucune limitation fonctionnelle. Selon lui, l'opération du 16 janvier 2012 a été réalisée pour remédier aux douleurs déclenchées par l'accident. L'assuré fait d'ailleurs valoir que les médecins qui l'ont opéré n'ont pas fait état de facteurs externes à l'accident qui auraient nécessité l'ablation du matériel d'ostéosynthèse installé il y a plusieurs année. Il soutient également que la deuxième intervention chirurgicale n'a aucun lien avec la fracture initiale, mais qu'elle a été envisagée et réalisée car les douleurs persistaient, malgré un traitement d'ergothérapie. L'assuré se plaint du fait que l'autorité précédente a écarté sans explication deux rapports médicaux des 13 mars et 26 juillet 2012, dans lesquels les doctoresses D.________ et E.________, médecins assistants aux Hôpitaux F.________, attestent "que les opérations des 16 janvier et 14 mai 2012 ont bien eu pour but de traiter les suites de l'événement accidentel du 16 novembre 2011". Par ailleurs, rien ne prouve selon lui que les douleurs seraient survenues même sans l'accident du 16 novembre 2011, contrairement à ce que retient la cour cantonale. Enfin, l'assuré soutient que la simple possibilité d'une rupture du lien de causalité ne suffit pas pour interrompre toute prestation et que l'assureur-accidents n'est délié de son obligation d'octroyer des prestations que si les atteintes reposent exclusivement sur des facteurs étrangers à l'accident assuré.</w:t>
      </w:r>
    </w:p>
    <w:p>
      <w:r>
        <w:rPr>
          <w:b/>
        </w:rPr>
        <w:t>E. 6.1</w:t>
      </w:r>
    </w:p>
    <w:p>
      <w:r>
        <w:t>En l'occurrence, seul le docteur C.________ s'est prononcé expressément sur la question du lien de causalité entre les douleurs du poignet et la chute du 16 novembre 2011. Certes, les doctoresses D.________ et E.________ ont répondu par la négative à la question de savoir si "des circonstances sans rapport avec l'accident jouaient un rôle dans l'évolution du cas" (rapports des 13 mars et 26 juillet 2012). On ne saurait toutefois déduire de ces avis l'existence probable d'une relation de causalité entre les troubles de l'assuré postérieurs au 31 mai 2012 et l'accident du 16 novembre 2011. En effet, ces médecins (qui n'ont pas procédé aux deux opérations chirurgicales) confirment la nature purement accidentelle de l'origine des lésions constatées, sans toutefois attribuer ces troubles à l'accident du 16 novembre 2011. Les rapports de ces médecins ne sont pas de nature à remettre en cause l'avis du docteur C.________.</w:t>
      </w:r>
    </w:p>
    <w:p>
      <w:r>
        <w:t>Il y a d'autant moins de raisons de mettre en doute l'appréciation du docteur C.________ qu'à la suite de l'accident du 16 novembre 2011, il n'a été diagnostiqué qu'une contusion du poignet droit (rapport médical initial du 31 décembre 2011). Or, à l'occasion de l'opération du 16 janvier 2012, il a été retenu le diagnostic de status post-ostéosynthèse radio-cubitale droite, en lien avec la fracture de l'avant-bras opérée plusieurs années auparavant (protocoles opératoires des 16 janvier et 14 mai 2012). Quant à la seconde opération, le docteur G.________, médecin-chef au service d'orthopédie et de traumatologie des Hôpitaux F.________, et le docteur H.________, chef de clinique au même service, indiquent une séquelle de fracture distale de l'avant-bras avec cal vicieux, un conflit cubito-carpien et une incongruence radio-cubitale inférieure "occasionnant douleurs et limitation fonctionnelle en pronosupination à 10-0-60°". Cette opération était destinée à supprimer les séquelles de l'ancienne fracture, soit à écarter le conflit cubito-carpien d'une part et à remédier à la limitation de la pronosupination d'autre part. On ne peut dès lors suivre le recourant, lorsqu'il soutient que ces interventions n'avaient pas de lien avec l'ancienne fracture. Les deux opérations ont bien été justifiées par l'état séquellaire de celle-ci. Tant dans le protocole opératoire du 16 janvier 2012 que dans celui du 14 mai 2012, il n'est question que des troubles liés à l'ancienne fracture. A cet égard, il est constant que l'intimée n'a pas à répondre de ceux-ci.</w:t>
      </w:r>
    </w:p>
    <w:p>
      <w:r>
        <w:t>En outre, on ne saurait retenir l'existence d'un lien de causalité du seul fait qu'avant l'événement du 16 novembre 2011, l'assuré ne ressentait aucune douleur et pouvait mener à bien ses activités sans problèmes. Cela revient en effet à se fonder sur l'adage</w:t>
      </w:r>
    </w:p>
    <w:p>
      <w:r>
        <w:t>post hoc ergo propter hoc lequel ne permet pas, selon la jurisprudence, d'établir l'existence d'un tel lien ( ATF 119 V 335 consid. 2b/bb p. 341 s.).</w:t>
      </w:r>
    </w:p>
    <w:p>
      <w:r>
        <w:rPr>
          <w:b/>
        </w:rPr>
        <w:t>E. 6.2</w:t>
      </w:r>
    </w:p>
    <w:p>
      <w:r>
        <w:t>Cela étant, il apparaît, au degré de la vraisemblance prépondérante appliquée généralement à l'appréciation des preuves dans l'assurance sociale (cf. ATF 138 V 218 consid. 6 p. 221 et les références; 135 V 39 consid. 6.1 p. 45), que l'existence d'un rapport de cause à effet entre la chute survenue le 16 novembre 2011 et l'incapacité de travail persistant après le 31 mai 2012 ne peut pas être admise dans le cas particulier. Il en résulte, sans qu'il soit nécessaire d'ordonner une instruction complémentaire comme le demande le recourant, qu'après cette date (à tout le moins), le devoir de l'assureur-accidents d'allouer des prestations a pris fin.</w:t>
      </w:r>
    </w:p>
    <w:p>
      <w:r>
        <w:rPr>
          <w:b/>
        </w:rPr>
        <w:t>E. 7</w:t>
      </w:r>
    </w:p>
    <w:p>
      <w:r>
        <w:t>Vu ce qui précède, le jugement attaqué n'est pas critiquable et le recours se révèle mal fondé.</w:t>
      </w:r>
    </w:p>
    <w:p>
      <w:r>
        <w:t>Le recourant, qui succombe, supportera les frais judiciaires ( art. 66 al. 1 LTF ). L'intimée ne peut prétendre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