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8C_135/2009 vom 24. Juni 2009</w:t>
      </w:r>
    </w:p>
    <w:p>
      <w:r>
        <w:t>Bundesgericht, 2009-06-24, DE</w:t>
      </w:r>
    </w:p>
    <w:p>
      <w:r>
        <w:rPr>
          <w:b/>
        </w:rPr>
        <w:t xml:space="preserve">Quelle: </w:t>
      </w:r>
      <w:r>
        <w:t>https://mcp.opencaselaw.ch/entscheid/bger_8C_135_2009</w:t>
      </w:r>
    </w:p>
    <w:p>
      <w:r>
        <w:t>FR: TF 8C_135/2009 du 24 juin 2009</w:t>
      </w:r>
    </w:p>
    <w:p>
      <w:r>
        <w:t>IT: TF 8C_135/2009 del 24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Inhalt und Tragweite von Art. 30 Abs. 1 lit. d AVIG sind im kantonalen Entscheid zutreffend dargelegt worden. Dasselbe gilt hinsichtlich der verschuldensabhängigen Einstellungsdauer (vgl. Art. 30 Abs. 3 Satz 3 AVIG in Verbindung mit Art. 45 Abs. 2 lit. b AVIV ).</w:t>
      </w:r>
    </w:p>
    <w:p>
      <w:r>
        <w:rPr>
          <w:b/>
        </w:rPr>
        <w:t>E. 2.2</w:t>
      </w:r>
    </w:p>
    <w:p>
      <w:r>
        <w:t>Streitig und zu prüfen ist, ob die Vorinstanz Bundesrecht verletzte, indem sie den Beschwerdeführer für 21 Tage in der Anspruchsberechtigung einstellte, weil er einen vorgesehenen Einsatz in einem Beschäftigungsprogramm der Firma C.________ durch sein passives Verhalten vereitelt habe.</w:t>
      </w:r>
    </w:p>
    <w:p>
      <w:r>
        <w:rPr>
          <w:b/>
        </w:rPr>
        <w:t>E. 3.1</w:t>
      </w:r>
    </w:p>
    <w:p>
      <w:r>
        <w:t>Es steht fest und ist unbestritten, dass am 25. April 2007 ein Beratungsgespräch zwischen dem Versicherten und Herrn S.________, stellvertretender Leiter der Arbeitsintegration der Firma C.________, stattgefunden hat. Streitig ist demgegenüber der Verlauf dieses Gespräches. Das kantonale Gericht hat für das Bundesgericht grundsätzlich verbindlich festgestellt, der Beschwerdeführer habe sich absolut passiv verhalten, keine Antworten auf Fragen von Herrn S.________ gegeben und ausser der Begrüssung und der Verabschiedung fast kein Wort gesprochen. Der Versicherte bringt vor, diese Sachverhaltsfeststellung sei unter Verletzung wesentlicher Verfahrensbestimmungen zu Stande gekommen und beruhe damit auf einer Rechtsverletzung im Sinne von Art. 95 BGG . Die Vorinstanz hätte Herrn S.________ als Zeugen einvernehmen müssen und sich nicht in einer entscheidwesentlichen Frage auf eine Aktennotiz über ein Telefongespräch zwischen einer Angestellten des Beschwerdegegners und Herrn S.________ stützen dürfen.</w:t>
      </w:r>
    </w:p>
    <w:p>
      <w:r>
        <w:rPr>
          <w:b/>
        </w:rPr>
        <w:t>E. 3.2</w:t>
      </w:r>
    </w:p>
    <w:p>
      <w:r>
        <w:t>Eine formlos eingeholte und in einer Aktennotiz festgehaltene mündliche bzw. telefonische Auskunft stellt rechtsprechungsgemäss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 BGE 117 V 282 E. 4c S. 287). Vorliegend ist indessen zu berücksichtigen, dass sich Vorinstanz und Verwaltung bei der Würdigung des Sachverhaltes nicht ausschliesslich auf eine Aktennotiz abgestützt haben; vielmehr diente das Telefonat vom 9. Juli 2007 lediglich noch der Bestätigung dessen, was die Firma C.________ bereits mit Schreiben vom 26. April 2007 dem Beschwerdegegner mitgeteilt hatte. Auch der Umstand, dass dieses Schreiben nicht von Herr S.________, sondern von dessen Vorgesetzten unterzeichnet worden ist, vermag die vorinstanzliche Beweiswürdigung - darin eingeschlossen die antizipierte Beweiswürdigung ( BGE 130 II 425 E. 2.1 S. 42) in Bezug auf eine mögliche Einvernahme des Herrn S.________ als Zeugen - insgesamt nicht als bundesrechtswidrig erscheinen zu lassen. Die Beschwerde des Versicherten ist demnach abzuweisen.</w:t>
      </w:r>
    </w:p>
    <w:p>
      <w:r>
        <w:rPr>
          <w:b/>
        </w:rPr>
        <w:t>E. 4</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