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8C_134/2020 vom 29. April 2020</w:t>
      </w:r>
    </w:p>
    <w:p>
      <w:r>
        <w:t>Bundesgericht, 2020-04-29, DE</w:t>
      </w:r>
    </w:p>
    <w:p>
      <w:r>
        <w:rPr>
          <w:b/>
        </w:rPr>
        <w:t xml:space="preserve">Quelle: </w:t>
      </w:r>
      <w:r>
        <w:t>https://mcp.opencaselaw.ch/entscheid/bger_8C_134_2020</w:t>
      </w:r>
    </w:p>
    <w:p>
      <w:r>
        <w:t>FR: TF 8C_134/2020 du 29 avril 2020</w:t>
      </w:r>
    </w:p>
    <w:p>
      <w:r>
        <w:t>IT: TF 8C_134/2020 del 29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mit der Bestätigung des Rentenanspruchs bei einem Invaliditätsgrad von 37 % Bundesrecht verletzt hat. Dabei steht unbestrittenermassen fest, dass die Beschwerdeführerin in einer angepassten Tätigkeit unter Berücksichtigung des Belastungsprofils und eines erhöhten Pausenbedarfs zu 80 % arbeitsfähig ist. Umstritten ist hingegen die wirtschaftliche Verwertbarkeit der Arbeitsfähigkeit auf dem massgeblichen ausgeglichenen Arbeitsmarkt.</w:t>
      </w:r>
    </w:p>
    <w:p>
      <w:r>
        <w:rPr>
          <w:b/>
        </w:rPr>
        <w:t>E. 3</w:t>
      </w:r>
    </w:p>
    <w:p>
      <w:r>
        <w:t>Die Vorinstanz hat die massgebenden Bestimmungen und Grundsätze über das anwendbare Recht ( BGE 141 V 657 E. 3.5.1 S. 661; Abs. 1 der Übergangsbestimmungen zur Änderung des UVG vom 25. September 2015, AS 2016 4375, 4387) zutreffend dargelegt. Gleiches gilt für den Anspruch auf eine Rente der Unfallversicherung ( Art. 18 Abs. 1 UVG ), die Ermittlung des Invalideneinkommens ( BGE 143 V 295 E. 2.2 S. 296; 135 V 297 E. 5.2 S. 301) gestützt auf die Tabellenlöhne gemäss den vom Bundesamt für Statistik periodisch herausgegebenen Lohnstrukturerhebungen (LSE; BGE 129 V 472 E. 4.2.1 S. 475 mit Hinweisen;) sowie die allgemeinen beweisrechtlichen Anforderungen an einen ärztlichen Bericht ( BGE 134 V 231 E. 5.1 S. 232; 125 V 351 E.3a S. 352; insbesondere von versicherungsinternen Ärzten ( BGE 135 V 465 E. 4.4 S. 469,). Darauf wird verwiesen.</w:t>
      </w:r>
    </w:p>
    <w:p>
      <w:r>
        <w:rPr>
          <w:b/>
        </w:rPr>
        <w:t>E. 4.1</w:t>
      </w:r>
    </w:p>
    <w:p>
      <w:r>
        <w:t>Hinsichtlich des Invalideneinkommens führte die Vorinstanz aus, dass zwar bei faktischer Einarmigkeit eine erheblich erschwerte Verwertbarkeit (der Restarbeitsfähigkeit) anzunehmen sei. Gemäss gefestigter Rechtsprechung würden jedoch genügend realistische Betätigungsmöglichkeiten selbst für Personen bestehen, die funktionell als Einarmige zu betrachten seien und überdies nur noch leichte Arbeit verrichten könnten. Zu denken sei an einfache Überwachungs-, Prüf- und Kontrolltätigkeiten sowie an die Bedienung von (halb-) automatischen Maschinen oder Produktionseinheiten, die keinen Einsatz des nicht mehr funktionstüchtigen Armes oder der nicht mehr einsetzbaren Hand voraussetzen würden. Die Vorinstanz wies ferner darauf hin, dass die Verwaltung zusätzlich dem Umstand der unterdurchschnittlichen Verwertbarkeit der verbliebenen Arbeitsfähigkeit der Beschwerdeführerin Rechnung trug, indem sie ihr den maximalen leidensbedingten Abzug von 25 % vom Tabellenlohn gewährte.</w:t>
      </w:r>
    </w:p>
    <w:p>
      <w:r>
        <w:rPr>
          <w:b/>
        </w:rPr>
        <w:t>E. 4.2</w:t>
      </w:r>
    </w:p>
    <w:p>
      <w:r>
        <w:t>Damit bestätigte die Vorinstanz - wenigstens implizit - das von der Suva festgesetzte Invalideneinkommen in Anwendung des statistischen Tabellenlohns gemäss Tabelle TA1 der Schweizerischen Lohnstrukturerhebung (LSE 2016, Sektor Dienstleistungen, Frauen, Kompetenzniveau 1), und somit einen monatlichen Bruttolohn von Fr. 4281.-. Unter Berücksichtigung der durchschnittlichen Wochenarbeitszeit (41.7 Stunden) und der bis 2018 eingetretenen Nominallohnentwicklung ergibt sich daraus ein Jahreseinkommen von Fr. 54'038.40. Aufgrund der eingeschränkten Arbeitsfähigkeit in angepasster Tätigkeit (20 %) sowie eines leidensbedingten Abzugs von zusätzlich 25 % resultiert ein bereinigtes Einkommen von Fr. 32'423.-. Weshalb der Beschwerdeführerin unter Berücksichtigung der unfallbedingten Restbeschwerden ausschliesslich eine Tätigkeit im Dienstleistungssektor zumutbar sein soll, erschliesst sich nicht aus den Akten. Ihr Leistungsprofil (vgl. hiernach E. 4.3) lässt vielmehr darauf schliessen, dass ihr aufgrund der unfallbedingten Einschränkungen der Leistungsfähigkeit eine Vielzahl von adaptierten Tätigkeiten auch in anderen Wirtschaftsbereichen ausserhalb des Dienstleistungssektors zumutbar sind. Damit wäre praxisgemäss auch hier bei der Bestimmung des tabellarischen Referenzlohnes vom Durchschnittslohn im gesamten privaten Sektor gemäss Zeile "Total" der LSE-Tabelle TA1 auszugehen (vgl. Urteil 8C_534/2019 vom 18. Dezember 2019 E. 5.2 mit Hinweis auf BGE 144 I 103 E. 5.2 S. 110). Angesichts des Umstands, dass das Invalideneinkommen dadurch höher ausfiele (4363 x 12./. 40 x 41.7 + 0.4 % + 0.5 % = 55'074 - 20 % - 25 % = 33'044.-), was einen tieferen Invaliditätsgrad ergäbe (verglichen mit dem unbestrittenen Valideneinkommen von Fr. 51'521.- / 33'044.- = 36 %), entfällt jedoch eine letztinstanzliche Korrektur ( Art. 107 Abs. 1 BGG ; vgl. Urteil 8C_419/2018 vom 11. Dezember 2018 E. 4.5).</w:t>
      </w:r>
    </w:p>
    <w:p>
      <w:r>
        <w:rPr>
          <w:b/>
        </w:rPr>
        <w:t>E. 4.3</w:t>
      </w:r>
    </w:p>
    <w:p>
      <w:r>
        <w:t>Soweit die Beschwerdeführerin moniert, sie könne auf keinen Fall in einer angepassten Tätigkeit ein Invalideneinkommen von Fr. 41'000.- erwirtschaften, so verkennt sie, dass die Suva - und im Ergebnis auch die Vorinstanz - von einem wesentlich tieferen Invalideneinkommen, nämlich von Fr. 32'423.- (vgl. E. 4.2 hiervor) ausgingen. Dass das Invalideneinkommen nicht gestützt auf die LSE-Tabellenlöhne zu ermitteln wäre, macht die Beschwerdeführerin zu Recht nicht geltend. Sie wendet aber ein, dass für funktionell Einarmige, die nur Tätigkeiten aus dem Kompetenzniveau 1 zu verrichten vermöchten, keine Arbeitsstellen auf dem ausgeglichenen Arbeitsmarkt existierten. Aus dem Bericht des Kreisarztes gehe klar hervor, dass sie keine handwerklichen Arbeiten oder Tätigkeiten körperlicher Art ausführen dürfe.</w:t>
      </w:r>
    </w:p>
    <w:p>
      <w:r>
        <w:rPr>
          <w:b/>
        </w:rPr>
        <w:t>E. 4.4</w:t>
      </w:r>
    </w:p>
    <w:p>
      <w:r>
        <w:t>Diese Argumentation verfängt offensichtlich nicht. Insbesondere ist dem kreisärztlichen Bericht nicht zu entnehmen, dass der Beschwerdeführerin gar keine körperlichen Tätigkeiten zumutbar wären. Vielmehr erläuterte der Kreisarzt in seinem Bericht vom 23. Februar 2018, dass das Heben und Tragen sowie das Hantieren mit Werkzeugen auf der rechten Seite frei seien. Das Sitzen und Stehen, etwaiges Knien und Kniebeugen könnten ebenfalls durchgeführt werden. Sodann bestätigte der Kreisarzt, dass die Fortbewegung nicht eingeschränkt sei. Mithin sind körperliche und handwerkliche Tätigkeiten, die keine manuelle Betätigung der linken, adominanten oberen Extremität erfordern und eine wechselbelastende Haltung längerfristig erlauben, der Beschwerdeführerin zumutbar.</w:t>
      </w:r>
    </w:p>
    <w:p>
      <w:r>
        <w:rPr>
          <w:b/>
        </w:rPr>
        <w:t>E. 4.5</w:t>
      </w:r>
    </w:p>
    <w:p>
      <w:r>
        <w:t>Nach den zutreffenden Erwägungen der Vorinstanz bestehen auf dem ausgeglichenen Arbeitsmarkt gemäss konstanter Rechtsprechung genügend realistische Betätigungsmöglichkeiten für Personen, die funktionell als Einarmige zu betrachten sind und überdies nur noch leichte Arbeit verrichten können (vgl. etwa Urteile 9C_124/2019 vom 28. Mai 2019 E. 3.2; 8C_811/2018 vom 10. April 2019 E. 4.4.2 mit weiteren Hinweisen; 8C_227/2018 vom 14. Juni 2018 E. 4.2.1). Dass in den vorinstanzlich zitierten Urteilen die versicherte Person nicht als funktionell einarmig oder -händig galt, sondern vereinzelt noch Tätigkeiten mit der beeinträchtigten Hand als Zudienhand zu verrichten vermochte, ändert nichts an der wiederholt bestätigten Praxis des Bundesgerichts. Damit ist lediglich dargetan, dass selbst Personen mit funktioneller Einarmig- oder Einhändigkeit, denen die Verwertbarkeit der Restarbeitsfähigkeit wie bei der Beschwerdeführerin tatsächlich sehr erschwert ist, dennoch ein hinreichend grosses Spektrum an realistischen Betätigungsmöglichkeiten auf dem ausgeglichenen Arbeitsmarkt unterstellt wird. Schliesslich ist darauf hinzuweisen, dass praxisgemäss im Rahmen der Invaliditätsbemessung unter Beizug der statistischen Durchschnittslöhne das kantonale Gericht nicht gehalten ist, die Arbeitsgelegenheiten auf dem massgeblichen ausgeglichenen Arbeitsmarkt weitergehend zu konkretisieren ( BGE 138 V 457 E. 3.1 S. 459 f.; Urteile 8C_815/2019 vom 30. Januar 2020 E. 6.2; 8C_ 587/2019 vom 30. Oktober 2019 E. 6.2). Somit ist nicht zu beanstanden, dass die Vorinstanz die Verwertbarkeit der Restarbeitsfähigkeit bejahte und das Invalideneinkommen gestützt auf die statistischen Werte der LSE-Tabellenlöhne festlegte.</w:t>
      </w:r>
    </w:p>
    <w:p>
      <w:r>
        <w:rPr>
          <w:b/>
        </w:rPr>
        <w:t>E. 4.6</w:t>
      </w:r>
    </w:p>
    <w:p>
      <w:r>
        <w:t>Die vorinstanzlichen Feststellungen zu den erwerblichen Auswirkungen der Gesundheitsschädigung werden im Übrigen nicht beanstandet und geben keinen Anlass zu Weiterungen.</w:t>
      </w:r>
    </w:p>
    <w:p>
      <w:r>
        <w:rPr>
          <w:b/>
        </w:rPr>
        <w:t>E. 5</w:t>
      </w:r>
    </w:p>
    <w:p>
      <w:r>
        <w:t>Die Beschwerde erweist sich als insgesamt offensichtlich unbegründet und wird im vereinfachten Verfahren nach Art. 109 BGG mit summarischer Begründung und unter Verweis auf den vorinstanzlichen Entscheid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