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8C_134/2012 vom 27. März 2012</w:t>
      </w:r>
    </w:p>
    <w:p>
      <w:r>
        <w:t>Bundesgericht, 2012-03-27, DE</w:t>
      </w:r>
    </w:p>
    <w:p>
      <w:r>
        <w:rPr>
          <w:b/>
        </w:rPr>
        <w:t xml:space="preserve">Quelle: </w:t>
      </w:r>
      <w:r>
        <w:t>https://mcp.opencaselaw.ch/entscheid/bger_8C_134_2012</w:t>
      </w:r>
    </w:p>
    <w:p>
      <w:r>
        <w:t>FR: TF 8C_134/2012 du 27 mars 2012</w:t>
      </w:r>
    </w:p>
    <w:p>
      <w:r>
        <w:t>IT: TF 8C_134/2012 del 27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 und dem Bundesamt für Gesundheit schriftlich mitgeteilt.</w:t>
      </w:r>
    </w:p>
    <w:p>
      <w:r>
        <w:t>Luzern, 27. März 2012</w:t>
      </w:r>
    </w:p>
    <w:p>
      <w:r>
        <w:t>Im Namen der I. sozialrechtlichen Abteilung</w:t>
      </w:r>
    </w:p>
    <w:p>
      <w:r>
        <w:t>des Schweizerischen Bundesgerichts</w:t>
      </w:r>
    </w:p>
    <w:p>
      <w:r>
        <w:t>Der Einzelrichter: Maillard</w:t>
      </w:r>
    </w:p>
    <w:p>
      <w:r>
        <w:t>Der Gerichtsschreiber: Lanz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