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8C_134/2011 vom 30. Mai 2011</w:t>
      </w:r>
    </w:p>
    <w:p>
      <w:r>
        <w:t>Bundesgericht, 2011-05-30, DE</w:t>
      </w:r>
    </w:p>
    <w:p>
      <w:r>
        <w:rPr>
          <w:b/>
        </w:rPr>
        <w:t xml:space="preserve">Quelle: </w:t>
      </w:r>
      <w:r>
        <w:t>https://mcp.opencaselaw.ch/entscheid/bger_8C_134_2011</w:t>
      </w:r>
    </w:p>
    <w:p>
      <w:r>
        <w:t>FR: TF 8C_134/2011 du 30 mai 2011</w:t>
      </w:r>
    </w:p>
    <w:p>
      <w:r>
        <w:t>IT: TF 8C_134/2011 del 30 maggio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2.1</w:t>
      </w:r>
    </w:p>
    <w:p>
      <w:r>
        <w:t>Im angefochtenen Entscheid wurden die entscheidwesentlichen Rechtsgrundlagen zutreffend dargelegt. Es betrifft dies insbesondere die Erwägungen zu den Voraussetzungen der Rentenrevision ( Art. 17 Abs. 1 ATSG in Verbindung mit Art. 88a und 88bis IVV ; BGE 133 V 108 E. 5 S. 110 ff.; 130 V 343 E. 3.5 S. 349 f.) und zu den bei der beweismässigen Auswertung medizinischer Berichte und Gutachten zu beachtenden Grundsätze ( BGE 125 V 351 E. 3a S. 352 mit Hinweis; vgl. ferner BGE 134 V 231 E. 5.1 S. 232 mit Hinweis). Darauf wird verwiesen. Anzufügen ist, dass die am 1. Januar 2008 in Kraft getretenen Änderungen des IVG und anderer Erlasse wie des ATSG vom 6. Oktober 2006 (5. IV-Revision, AS 2007 5129 ff.) in Bezug auf die Voraussetzungen der Rentenrevision insofern Auswirkungen gezeitigt haben, als nunmehr die in Art. 31 IVG ("Herabsetzung oder Aufhebung der Rente") festgehaltenen Modalitäten hinsichtlich der Anrechnung von Einkommensfreibeträgen gelten. Da die Beschwerdeführerin aber keiner Erwerbstätigkeit mehr nachgeht, gelangt die Regelung nicht zur Anwendung ( BGE 136 V 216 ).</w:t>
      </w:r>
    </w:p>
    <w:p>
      <w:r>
        <w:rPr>
          <w:b/>
        </w:rPr>
        <w:t>E. 2.2</w:t>
      </w:r>
    </w:p>
    <w:p>
      <w:r>
        <w:t>Die Frage, ob sich eine Arbeits(un)fähigkeit in einem bestimmten Zeitraum in einem rentenrevisionsrechtlich relevanten Sinne verändert hat, stellt eine Tatfrage dar (Urteil [des Eidg. Versicherungsgerichts] I 692/06 vom 19. Dezember 2006 E. 3.1) und ist einer letztinstanzlichen Berichtigung oder Ergänzung somit nur im gesetzlichen Rahmen von Art. 105 Abs. 2 BGG zugänglich. Frei überprüfbar ist dagegen, ob das kantonale Gericht bei der Sachverhaltsermittlung vom zutreffenden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korrekten Beweismasses als erstellt erachtet, ist das Bundesgericht an das Beweisergebnis grundsätzlich gebunden (vgl. BGE 122 III 219 E. 3 S. 220 ff., insb. E. 3b in fine S. 223; Urteil 9C_149/2009 vom 14. Juli 2009 E. 3.2.3, in: SVR 2009 IV Nr. 57 S. 177).</w:t>
      </w:r>
    </w:p>
    <w:p>
      <w:r>
        <w:rPr>
          <w:b/>
        </w:rPr>
        <w:t>E. 3.1</w:t>
      </w:r>
    </w:p>
    <w:p>
      <w:r>
        <w:t>Streitig und zu prüfen ist unter sachverhaltsmässig eingeschränktem kognitionsrechtlichem Blickwinkel (E. 1.1, 1.2 und 2.2 hievor), ob das kantonale Gericht die durch die Beschwerdegegnerin auf den 1. Juli 2010 vorgenommene Einstellung (Verfügung vom 14. Mai 2010) der rückwirkend per 1. Februar 2007 zugesprochenen Dreiviertelsrente (Verfügungen vom 23. Juli 2008) nach revisionsrechtlichen Gesichtspunkten zu Recht bestätigt hat.</w:t>
      </w:r>
    </w:p>
    <w:p>
      <w:r>
        <w:rPr>
          <w:b/>
        </w:rPr>
        <w:t>E. 3.2</w:t>
      </w:r>
    </w:p>
    <w:p>
      <w:r>
        <w:t>Letztinstanzlich unbeanstandet geblieben - und daher für das Bundesgericht grundsätzlich verbindlich (E. 1.1 in fine hievor) - ist die der Invaliditätsbemessung nach Massgabe der Situation im Gesundheitsfall zugrunde zu legende Aufteilung der Bereiche Erwerbstätigkeit/Haushalt von je 50 % (Statusfrage; vgl. auch Urteile [des Eidg. Versicherungsgerichts] I 693/06 vom 20. Dezember 2006 E. 4.1 und I 708/06 vom 23. November 2006 E. 3.1 und 3.2, je mit Hinweisen; ferner BGE 132 V 393 E. 3.3 S. 399) sowie die für die Ermittlung der Erwerbseinbusse massgeblichen Vergleichseinkommen (hypothetischer Verdienst, der ohne gesundheitliche Beeinträchtigungen bei einem Beschäftigungsgrad von 50 % hätte erzielt werden können [Valideneinkommen]: Fr. 28'247.-; Einkommen, welches die Versicherte trotz Gesundheitsschädigung zumutbarerweise in Ausübung einer leidensadaptierten Tätigkeit im Rahmen eines - jedoch umstrittenen und nachfolgend zu prüfenden - 50 %-Pensums noch zu generieren vermöchte [Invalideneinkommen]: Fr. 25'684.-).</w:t>
      </w:r>
    </w:p>
    <w:p>
      <w:r>
        <w:rPr>
          <w:b/>
        </w:rPr>
        <w:t>E. 4.1</w:t>
      </w:r>
    </w:p>
    <w:p>
      <w:r>
        <w:t>Soweit die Versicherte in der Anwendung der gemischten Invaliditätsbemessungsmethode generell eine Verletzung des in Art. 8 (Abs. 3) BV verankerten Gleichbehandlungsgebotes von Frau und Mann erblickt, kann ihr aus den nachstehend dargelegten Gründen nicht gefolgt werden.</w:t>
      </w:r>
    </w:p>
    <w:p>
      <w:r>
        <w:rPr>
          <w:b/>
        </w:rPr>
        <w:t>E. 4.2</w:t>
      </w:r>
    </w:p>
    <w:p>
      <w:r>
        <w:t>Als Personen in der analogen Situation zur Beschwerdeführerin sind sämtliche bei der schweizerischen Invalidenversicherung versicherten Personen zu betrachten, welche neben der Ausübung einer teilzeitlichen Erwerbstätigkeit (&lt; 100 %) zusätzlich im Aufgabenbereich (bspw. Haushalt) tätig sind ( Art. 28 Abs. 2ter IVG ). Innerhalb dieses Personenkreises besteht Gleichbehandlung. Namentlich gelangt die gemischte Methode unabhängig davon zur Anwendung, wie gross die jeweiligen Anteile zwischen Erwerbsarbeit und Haushalt sind und was als Grund für die Teilzeitarbeit angegeben wird. Nach Gesetz gilt die gemischte Methode bei Frauen und Männern ohne Unterschied. Da für alle Versicherten die Voraussetzungen zur Anwendung der gemischten Bemessungsmethode die gleichen sind, und innerhalb des Anwendungsbereichs der Methode keine unterschiedliche Behandlung stattfindet, stellt sich die Frage nicht, ob für eine ungleiche Behandlung ein objektiver und vernünftiger Grund besteht. Rechtsprechungsgemäss hat die jeweilige Bemessungsmethode ihren Anknüpfungspunkt nicht im Geschlecht der versicherten Person, sondern in der gesundheitsbedingten Leistungseinbusse entweder in der Erwerbsarbeit oder im Aufgabenbereich oder aber gleichzeitig in beiden Bereichen (Urteil [des Eidg. Versicherungsgerichts] I 156/04 vom 13. Dezember 2005 E. 5.2, in: SVR 2006 IV Nr. 42 S. 151). Schliesslich gilt es zu berücksichtigen, dass die Invalidenrente der Rentenrevision unterliegt, welche gemäss Art. 17 Abs. 1 ATSG Platz greift, falls sich der Invaliditätsgrad erheblich ändert. Der periodischen Revision unterworfen sind sämtliche Renten der Invalidenversicherung unbesehen der jeweils anwendbaren Invaliditätsbemessungsmethode. Das Gesetz unterscheidet hierbei nicht zwischen Männern und Frauen. Wenn also beispielsweise ein als vollzeitlich erwerbstätig geltender invalider Mann, aus welchen Gründen auch immer, entschiede, er würde nunmehr als Gesunder teilzeitlich arbeiten und zugleich den Haushalt besorgen, unterliegt auch er der Revision und (neu) der gemischten Bemessungsmethode.</w:t>
      </w:r>
    </w:p>
    <w:p>
      <w:r>
        <w:rPr>
          <w:b/>
        </w:rPr>
        <w:t>E. 5.1</w:t>
      </w:r>
    </w:p>
    <w:p>
      <w:r>
        <w:t>Im vorinstanzlichen Entscheid wurde nach umfassender Würdigung der medizinischen Aktenlage, insbesondere gestützt auf die gutachtlichen Ausführungen des Dr. med. A.________ vom 6. Februar 2010 (samt ergänzender Stellungnahme vom 10. Mai 2010), welchen das kantonale Gericht uneingeschränkte Beweiskraft im Sinne der rechtsprechungsgemäss definierten Kriterien (vgl. E. 2.1 hievor) zugestanden hat, in tatsächlicher Hinsicht erwogen, dass sich der psychische Gesundheitszustand der Versicherten seit der Rentenzusprechung im Jahre 2008 nicht grundsätzlich verbessert habe. Namentlich leide sie unverändert an einer rezidivierenden depressiven Störung, gegenwärtig mittelgradige Episode, einer kombinierten Persönlichkeitsstörung mit emotional instabilen, histrionischen und unreifen Anteilen sowie einer generalisierten Angststörung. Eine Änderung habe die Situation allerdings dahingehend erfahren, dass der vormalige Einfluss des Benzodiazepinmissbrauchs zwischenzeitlich - primär als Folge der auf Druck der Beschwerdegegnerin vom 19. November 2008 bis 9. Februar 2009 in der Klinik T.________ durchgeführten stationären Therapie - weggefallen sei. Gerade der entsprechende, die Arbeitsfähigkeit nach Einschätzung des Gutachters um 50 % vermindernde Medikamentenkonsum habe in der ursprünglichen Expertisierung (vom 25. Februar 2008) indes zur Attestierung eines unter Berücksichtigung des gesamten Krankheitsbildes vollständigen Leistungsunvermögens im beruflich-erwerblichen Bereich geführt. Da keine schwere depressive Störung vorliege, sei es der Versicherten aus psychiatrischer Sicht nunmehr zumutbar, trotz der geklagten Beschwerden die nötige Willensanstrengung aufzubringen, um halbtags einer ausserhäuslichen Tätigkeit nachzugehen. Es bestünden neben einer ausgeprägten subjektiven Krankheitsüberzeugung auch regressive Verhaltensweisen, welche von der Umgebung der Beschwerdeführerin, in erster Linie ihrer Mutter, massgeblich unterstützt worden seien. Diese ausgesprochen demonstrativen und histrionischen Wesenszüge begründeten jedoch keine höhere Arbeitsunfähigkeit als die psychiatrischerseits bescheinigten 50 %.</w:t>
      </w:r>
    </w:p>
    <w:p>
      <w:r>
        <w:rPr>
          <w:b/>
        </w:rPr>
        <w:t>E. 5.2</w:t>
      </w:r>
    </w:p>
    <w:p>
      <w:r>
        <w:t>Die dagegen letztinstanzlich vorgebrachten Einwendungen sind nicht geeignet, die Sachverhaltsfeststellungen des Gerichts zur Restarbeitsfähigkeit als offensichtlich unrichtig oder anderweitig rechtsfehlerhaft erscheinen zu lassen, zumal sie sich zur Hauptsache in einer Wiederholung der bereits im kantonalen Beschwerdeprozess erhobenen und entkräfteten Rügen erschöpfen.</w:t>
      </w:r>
    </w:p>
    <w:p>
      <w:r>
        <w:rPr>
          <w:b/>
        </w:rPr>
        <w:t>E. 5.2.1</w:t>
      </w:r>
    </w:p>
    <w:p>
      <w:r>
        <w:t>Entgegen der Darstellung der Beschwerdeführerin hatte Dr. med. A.________ in seiner Beurteilung vom 25. Februar 2008, deren Schlussfolgerungen die Basis der - von Seiten der Versicherten unbeanstandet gebliebenen - Rentenverfügung(en) der IV-Stelle vom 23. Juli 2008 bildeten, ausdrücklich festgehalten, dass die vorbestehende verminderte Fähigkeit der Explorandin, mit Emotionen und Impulsen umzugehen, durch den Konsum derart grosser Mengen an Benzodiazepinen weiterhin beeinträchtigt und sie nicht der Lage sei, eine ausserhäusliche Beschäftigung auszuüben. Falls sie aber auf deren Einnahme verzichte, könne ihr eine halbtägige Erwerbstätigkeit zugemutet werden. Die im Juli 2008 unter Zugrundelegung eines Invalideneinkommens von Fr. 0.- verfügten Rentenleistungen waren denn auch unter dem Vorbehalt, "solange auf den Konsum der Benzodiazepine nicht verzichtet wird", sowie mit der im Vorfeld unter Hinweis auf die der Versicherten obliegenden Schadenminderungspflicht ergangenen Auflage zugesprochen worden, bis spätestens am 27. Juni 2008 eine schriftliche Bestätigung der Klinik zukommen zu lassen, in welcher sie die als zumutbar erachtete stationäre Benzodiazepin-Entzugsbehandlung mit nachfolgender periodischer, d.h. einmal wöchentlich durchzuführender Psychotherapie wahrzunehmen gedenke (Schreiben der Beschwerdegegnerin vom 26. März 2008). Nachdem die Beschwerdeführerin sich erfolgreich den angeordneten Behandlungsmassnahmen unterzogen hatte (Aufenthalt in der Klinik T.________ vom 19. November 2008 bis 9. Februar 2009 samt anschliessenden psychiatrisch-psychotherapeutischen Konsultationen) und in der Folge keine Benzodiazepine mehr nachweisbar waren, bescheinigte Dr. med. A.________ mit Gutachten vom 6. Februar 2010, bestätigt durch seine Stellungnahme vom 10. Mai 2010, eine auf die im Übrigen in unverändertem Masse bestehenden psychischen Störungen zurückzuführende Arbeitsfähigkeit für erwerbliche Tätigkeiten von 50 %. Die durch den begutachtenden Arzt vormals getroffene (hypothetische) Annahme, dass die angestrebte - und während eines über zweijährigen Intervalls bzw. nach einem zweieinhalb monatigen Klinikaufenthalt auch realisierte - Befreiung von der jahrelangen Benzodiazepinabhängigkeit eine Verminderung der Beschwerden und, damit einhergehend, eine Steigerung des (beruflichen) Leistungsvermögens mit sich bringe, verwirklichte sich, indem die Versicherte im Nachgang als im Gespräch klarer, konzentrierter sowie affektiv spür- und erreichbarer wirkte, regelmässig an den psychiatrisch-psychotherapeutischen Sitzungen teilnahm und langsam Vertrauen in die therapeutische Beziehung gewann (Bericht der Klinik T.________ vom 14. Mai 2009). Trotz einer sich im Gefolge des Benzodiazepinentzuges zeigenden Tendenz der Beschwerdeführerin, im Übermass Neuroleptika, Dipiperon etc. zu sich zu nehmen, erachtete Dr. med. A.________ eine Verbesserung der Arbeitsfähigkeit bei fester Dossierung als gegeben (Gutachten vom 6. Februar 2010, S. 9). Auch wenn der blosse Entzug der Benzodiazepine somit zwar Begleiterscheinungen nach sich zog, erscheint der von den Klinikärzten in ihren Berichten vom 14. Mai 2009 und 1. März 2010 gesteckte zeitliche Integrationsrahmen von weiteren zwei Jahren doch klar unverhältnismässig.</w:t>
      </w:r>
    </w:p>
    <w:p>
      <w:r>
        <w:rPr>
          <w:b/>
        </w:rPr>
        <w:t>E. 5.2.2</w:t>
      </w:r>
    </w:p>
    <w:p>
      <w:r>
        <w:t>Das zur Untermauerung des Standpunktes der Versicherten unter Bezugnahme auf die in den erwähnten Berichten der Klinik T.________ (vom 14. Mai 2009 und 1. März 2010) enthaltenen Angaben geführte Argumentarium, wonach ihr die Ausübung einer ausserhäuslichen Beschäftigung auch aktuell verwehrt und daher keine revisionsrechtlich bedeutsame Verbesserung im massgeblichen Referenzzeitraum eingetreten sei, erweist sich nach dem Gesagten als nicht stichhaltig. Dr. med. A.________ hat sich mit dem darin trotz diagnostischer Übereinstimmung postulierten unterschiedlichen Ausmass des verbliebenen erwerblichen Leistungsvermögens in seinen Erläuterungen vom 6. Februar und 10. Mai 2010 eingehend auseinandergesetzt und überzeugend dargelegt, weshalb darauf nicht abgestellt werden kann. Die diesbezüglichen medizinischen Differenzen lassen sich überdies durch die qualitative Verschiedenheit von Behandlungs- und Begutachtungsauftrag (vgl. dazu Urteil 9C_400/2010 vom 9. September 2010 E. 5.2 mit Hinweisen, nicht publ. in: BGE 136 V 376 , aber in: SVR 2011 IV Nr. 29 S. 82) zwanglos erklären, worauf schon im angefochtenen Entscheid hingewiesen worden ist. Die Ausführungen der behandelnden Klinikärzte sind mithin nicht in der Lage, Zweifel an der als einleuchtend einzustufenden Sichtweise des Dr. med. A.________ zu wecken, und vermögen daher jedenfalls keine offensichtliche Unrichtigkeit der darauf fussenden vorinstanzlichen Feststellungen aufzuzeigen.</w:t>
      </w:r>
    </w:p>
    <w:p>
      <w:r>
        <w:rPr>
          <w:b/>
        </w:rPr>
        <w:t>E. 6</w:t>
      </w:r>
    </w:p>
    <w:p>
      <w:r>
        <w:t>Offen bleiben kann vor diesem Hintergrund, ob die Einschränkung in den innerhäuslichen Verrichtungen mit Vorinstanz und Beschwerdegegnerin gestützt auf die gutachtliche Einschätzung des Dr. med. A.________ (vom 6. Februar und 10. Mai 2010) weiterhin - wie bereits anlässlich der Rentenverfügung vom 23. Juli 2008 - auf 20 % zu veranschlagen ist oder sie sich auf der Grundlage der im Abklärungsbericht Haushalt vom 20. November 2009 wiedergegebenen Erhebungen auf neu 59 % beläuft. Selbst wenn der höhere Ansatz als massgeblich betrachtet würde, resultierte kein rentenbegründender Gesamtinvaliditätsgrad ([0,5 x 9,07 %] + [0,5 x 59 %]). Die in der Beschwerde beantragte Rückweisung der Sache an die Beschwerdegegnerin zur Vornahme weitergehender Abklärungen bezüglich der Behinderung im Aufgabenbereich Haushalt erübrigt sich daher.</w:t>
      </w:r>
    </w:p>
    <w:p>
      <w:r>
        <w:t>Es hat demnach bei der am 14. Mai 2010 in Nachachtung von Art. 88bis Abs. 2 lit. a IVV auf den 1. Juli 2010 verfügten Einstellung der bisherigen Rentenleistungen sein Bewenden.</w:t>
      </w:r>
    </w:p>
    <w:p>
      <w:r>
        <w:rPr>
          <w:b/>
        </w:rPr>
        <w:t>E. 7</w:t>
      </w:r>
    </w:p>
    <w:p>
      <w:r>
        <w:t>Dem Ausgang des Verfahrens entsprechend sind die Gerichtskosten der Beschwerdeführerin aufzuerlegen (Art. 65 Abs. 4 lit. a in Verbindung mit Art. 66 Abs. 1 Satz 1 BGG ). Ihrem Ersuchen um Gewährung der unentgeltlichen Prozessführung und Verbeiständung ( Art. 64 Abs. 1 und 2 BGG ) kann jedoch entsprochen werden, da die Bedürftigkeit auf Grund der eingereichten Unterlagen als ausgewiesen gelten kann, ihr Rechtsbegehren nicht als von vornherein aussichtslos anmutet und die Vertretung durch einen Rechtsanwalt oder eine Rechtsanwältin als geboten erscheint ( BGE 129 I 129 E. 2.3.1 S. 135 ; 128 I 225 E. 2.5.3 S. 235).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