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8C_133/2023 vom 6. März 2023</w:t>
      </w:r>
    </w:p>
    <w:p>
      <w:r>
        <w:t>Bundesgericht, 2023-03-06, DE</w:t>
      </w:r>
    </w:p>
    <w:p>
      <w:r>
        <w:rPr>
          <w:b/>
        </w:rPr>
        <w:t xml:space="preserve">Quelle: </w:t>
      </w:r>
      <w:r>
        <w:t>https://mcp.opencaselaw.ch/entscheid/bger_8C_133_2023</w:t>
      </w:r>
    </w:p>
    <w:p>
      <w:r>
        <w:t>FR: TF 8C_133/2023 du 6 mars 2023</w:t>
      </w:r>
    </w:p>
    <w:p>
      <w:r>
        <w:t>IT: TF 8C_133/2023 del 6 marzo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12. Januar 2023 den Einspracheentscheid des Beschwerdegegners vom 5. September 2022, wonach der Beschwerdeführerin wegen ausserhalb der Dreimonatsfrist gemäss Art. 20 Abs. 3 Satz 1 AVIG eingereichter Unterlagen für die Zeit vom 1. bis 28. Februar 2022 keine Arbeitslosentaggelder zustehen. Dabei machte das kantonale Gericht auch allgemeine Ausführungen dazu, unter welchen Voraussetzungen eine versäumte Frist wiederhergestellt werden kann.</w:t>
      </w:r>
    </w:p>
    <w:p>
      <w:r>
        <w:rPr>
          <w:b/>
        </w:rPr>
        <w:t>E. 3</w:t>
      </w:r>
    </w:p>
    <w:p>
      <w:r>
        <w:t>Soweit nicht allein den Geschehensablauf schildernd, trägt die Beschwerdeführerin primär Gründe vor, die aus ihrer Sicht für eine Wiederherstellung der versäumten Frist sprechen.</w:t>
      </w:r>
    </w:p>
    <w:p>
      <w:r>
        <w:t>Abgesehen davon, dass es sich bei diesen Vorbringen wohl grösstenteils um unzulässige neue Tatsachenbehauptungen im Sinne von Art. 99 Abs. 1 BGG handeln dürfte (Näheres dazu: Urteil 8C_538/2022 vom 27. September 2022 mit Hinweisen), legt die Beschwerdeführerin nicht dar, inwiefern ihr jegliche Möglichkeit zur fristwahrenden Handlung genommen worden sein soll (dazu siehe etwa BGE 119 II 86 E. 2 mit Hinweis); auf schwierige Umstände zu verweisen und um Nachsicht zu bitten, reicht zur Beschwerdebegründung nicht aus.</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