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8C_132/2023 vom 6. März 2023</w:t>
      </w:r>
    </w:p>
    <w:p>
      <w:r>
        <w:t>Bundesgericht, 2023-03-06, DE</w:t>
      </w:r>
    </w:p>
    <w:p>
      <w:r>
        <w:rPr>
          <w:b/>
        </w:rPr>
        <w:t xml:space="preserve">Quelle: </w:t>
      </w:r>
      <w:r>
        <w:t>https://mcp.opencaselaw.ch/entscheid/bger_8C_132_2023</w:t>
      </w:r>
    </w:p>
    <w:p>
      <w:r>
        <w:t>FR: TF 8C_132/2023 du 6 mars 2023</w:t>
      </w:r>
    </w:p>
    <w:p>
      <w:r>
        <w:t>IT: TF 8C_132/2023 del 6 marzo 2023</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bestätigte mit Urteil vom 21. Dezember 2022 den Einspracheentscheid der Beschwerdegegnerin vom 1. September 2022, wonach der Beschwerdeführer zum Zeitpunkt der Anmeldung zum Leistungsbezug vom 21. März 2022 wegen fehlender Mindestbeitragszeit gemäss Art. 13 Abs. 1 und Art. 14 Abs. 1 AVIG über keinen Anspruch auf Arbeitslosentaggelder verfügte. Dabei legte sie in Auseinandersetzung mit den Parteivorbringen und in Würdigung der Akten näher dar, weshalb es dem Beschwerdeführer die letzten zwei Jahre zuzumuten gewesen wäre, neben dem Studium ungeachtet der zeitweilig attestierten Arbeitsunfähigkeit mindestens während zwölf Monaten teilzeitlich erwerbstätig zu sein.</w:t>
      </w:r>
    </w:p>
    <w:p>
      <w:r>
        <w:rPr>
          <w:b/>
        </w:rPr>
        <w:t>E. 3</w:t>
      </w:r>
    </w:p>
    <w:p>
      <w:r>
        <w:t>Der Beschwerdeführer macht letztinstanzlich primär bereits vor dem kantonalen Gericht Vorgetragenes geltend, ohne auf die dazu ergangenen Erwägungen substanziiert einzugehen. Inwiefern die von der Vorinstanz getroffenen, zur Bejahung einer Teilzeiterwerbsmöglichkeit während mindestens zwölf Monaten führenden Sachverhaltsfeststellungen betreffend die Studiumsintensität auf einer willkürlichen Beweiswürdigung oder anderweitigen Rechtsverletzung gemäss Art. 95 BGG beruhen sollten, wird in der Beschwerde nicht ausgeführt. Der Beschwerdeführer übersieht, dass für das kantonale Gericht bei der Entscheidfindung nicht im Vordergrund gestanden hat, wann genau er die einzelnen Prüfungen absolvierte, sondern wann er die dazugehörigen Lehrveranstaltungen besucht haben musste. Zu Letzterem führt er nichts aus. Seine Vorbringen gehen - soweit überhaupt sachbezogen - insgesamt nicht über eine letztinstanzlich unzulässige appellatorische Kritik hinaus.</w:t>
      </w:r>
    </w:p>
    <w:p>
      <w:r>
        <w:rPr>
          <w:b/>
        </w:rPr>
        <w:t>E. 4</w:t>
      </w:r>
    </w:p>
    <w:p>
      <w:r>
        <w:t>Liegt demnach offensichtlich keine hinreichend sachbezogen begründete Beschwerde vor, so führt dies zu einem Nichteintreten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