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8C_132/2014 vom 2. Mai 2014</w:t>
      </w:r>
    </w:p>
    <w:p>
      <w:r>
        <w:t>Bundesgericht, 2014-05-02, DE</w:t>
      </w:r>
    </w:p>
    <w:p>
      <w:r>
        <w:rPr>
          <w:b/>
        </w:rPr>
        <w:t xml:space="preserve">Quelle: </w:t>
      </w:r>
      <w:r>
        <w:t>https://mcp.opencaselaw.ch/entscheid/bger_8C_132_2014</w:t>
      </w:r>
    </w:p>
    <w:p>
      <w:r>
        <w:t>FR: TF 8C_132/2014 du 2 mai 2014</w:t>
      </w:r>
    </w:p>
    <w:p>
      <w:r>
        <w:t>IT: TF 8C_132/2014 del 2 maggio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werden ( BGE 133 II 249 E. 1.4.1 S. 254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Streitgegenstand bildet die Frage, ob die Vorinstanz zu Recht in Bestätigung des Einspracheentscheids der SUVA vom 10. Mai 2012 ab 14. Juni 2010 eine unfallbedingte Arbeitsunfähigkeit verneinte.</w:t>
      </w:r>
    </w:p>
    <w:p>
      <w:r>
        <w:rPr>
          <w:b/>
        </w:rPr>
        <w:t>E. 2.2</w:t>
      </w:r>
    </w:p>
    <w:p>
      <w:r>
        <w:t>Der Beschwerdeführer macht geltend, angesichts der medizinischen Akten bestünden an den Schlussfolgerungen des SUVA-Kreisarztes, auf die im Wesentlichen abgestellt worden sei, zumindest geringe Zweifel. Die Vorinstanz verkenne, dass die SUVA die Schwindelbeschwerden entgegen ihrer Ankündigung im Schreiben vom 20. Mai 2010 und entgegen der Empfehlung der Klinik D.________ nicht habe abklären lassen. Der konsiliarisch beigezogene Dr. med. E.________ habe sich ausweislich seines Berichts vom 16. April 2010 allein zu einer allenfalls bestandenen Trigeminusneuralgie im Bereich des Gesichts geäussert. Sodann sei zu vermuten, dass das Spital C.________ im Austrittsbericht vom 19. November 2009 hinsichtlich der festgestellten Prellmarken irrtümlich das rechte statt das linke Knie erwähnt habe, weshalb der Kausalitätsbeurteilung des Dr. med. F.________ bezogen auf die Gonarthrose links nicht gefolgt werden könne. Schliesslich habe sich der Kreisarzt mit der anderslautenden Einschätzung der Arbeitsfähigkeit des behandelnden Hausarztes med. pract. G.________ nicht befasst.</w:t>
      </w:r>
    </w:p>
    <w:p>
      <w:r>
        <w:rPr>
          <w:b/>
        </w:rPr>
        <w:t>E. 3.1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39, 8C_592/2012 E. 5.1 f. mit Hinweis).</w:t>
      </w:r>
    </w:p>
    <w:p>
      <w:r>
        <w:rPr>
          <w:b/>
        </w:rPr>
        <w:t>E. 3.2</w:t>
      </w:r>
    </w:p>
    <w:p>
      <w:r>
        <w:t>Der rechtserhebliche Sachverhalt ist von Amtes wegen unter Mitwirkung der Versicherten resp. der Parteien zu ermitteln. In diesem Sinne rechtserheblich sind alle Tatsachen, von deren Vorliegen es abhängt, ob über den streitigen Anspruch so oder anders zu entscheiden ist ( FRITZ GYGI, Bundesverwaltungsrechtspflege, 2. Aufl. 1983, S. 43 und 273).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Dabei kommt einem ärztlichen Bericht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w:t>
      </w:r>
    </w:p>
    <w:p>
      <w:r>
        <w:rPr>
          <w:b/>
        </w:rPr>
        <w:t>E. 3.3</w:t>
      </w:r>
    </w:p>
    <w:p>
      <w:r>
        <w:t>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 BGE 135 V 465 E. 4.4 i.f. S. 470 mit Hinweis; vgl. auch Urteil 8C_439/2009 vom 25. November 2011 E. 4.4, publ. in Plädoyer 2010/2 S. 54).</w:t>
      </w:r>
    </w:p>
    <w:p>
      <w:r>
        <w:rPr>
          <w:b/>
        </w:rPr>
        <w:t>E. 4.1</w:t>
      </w:r>
    </w:p>
    <w:p>
      <w:r>
        <w:t>Hinsichtlich der Beschwerden im Bereich des linken Kniegelenks liegen entgegen der Auffassung des Beschwerdeführers echtzeitliche Dokumente vor. Die erstbehandelnden Ärzte des Spitals C.________ hielten im Beiblatt zum Austrittsbericht vom 17. November 2009 die Eintrittsbefunde vom 21. Oktober 2009 detailliert fest. Danach waren die unteren Extremitäten frei beweglich; am rechten Knie konnte eine Prellmarke/Schürfung ohne Erguss bei freier Beweglichkeit des Gelenks festgestellt werden. Laut Protokoll vom 2. Dezember 2009 erwähnte der Versicherte auch anlässlich der polizeilichen Einvernahme keine Verletzung im Bereich des linken Knies. Sodann konnte aufgrund der hausärztlich veranlassten Sonographie der Oberschenkelmuskulatur links im angegebenen Schmerzbereich kein Nachweis posttraumatischer Läsionen oder anderer morphologisch fassbarer Ursachen eruiert werden (Bericht des Zentrums K.________ vom 16. Februar 2010). Schliesslich ergaben die radiologischen Abklärungen des linken Beines und Knies gemäss Bericht der Klinik I.________ vom 9. Juni 2011 eine medial betonte Gonarthrose mit diskreter Retropatellararthrose bei varischer Beinachse. Angesichts dieser Unterlagen ist die Schlussfolgerung des Dr. med. F.________ gemäss Bericht vom 29. Februar 2012, die geltend gemachten Beschwerden im linken Knie seien bei Varusmorphologie mit überwiegender Wahrscheinlichkeit degenerativ bedingt und daher nicht auf den Unfall vom 21. Oktober 2009 zurückzuführen, nicht zu beanstanden.</w:t>
      </w:r>
    </w:p>
    <w:p>
      <w:r>
        <w:rPr>
          <w:b/>
        </w:rPr>
        <w:t>E. 4.2</w:t>
      </w:r>
    </w:p>
    <w:p>
      <w:r>
        <w:t>In Bezug auf den geltend gemachten Schwindel übersieht der Beschwerdeführer zunächst, dass die radiologische Untersuchung des Schädels vom 9. April 2010 keinen pathologischen Befund ergab; das Gehirn zeigte sich strukturell unauffällig; insbesondere lagen keine Hinweise für cerebrale Kontusionen vor (Bericht der Klinik J.________ vom 9. April 2010). Die Klinik D.________ veranlasste daraufhin das neurologische Konsilium des Dr. med. E.________ vom 16. April 2010 auch wegen der Schwindelbeschwerden. Anders ist nicht zu erklären, dass dieser Arzt sämtliche unter neurologischen Gesichtspunkten allenfalls vorhandenen Beschwerden (explizit auch den unsystematischen Schwindel) beurteilte. Dabei stellte er keine Pathologien fest und er empfahl keine weitergehende spezialärztliche, insbesondere auch keine ophtalmologische Abklärung. Der Beschwerdeführer verkennt weiter mit seinen Vorbringen, dass bereits die erstbehandelnden Spezialärzte des Spitals C.________ neben einem Hämatom am rechten Auge keine Auffälligkeiten hinsichtlich der Sehfähigkeit feststellen konnten und das von ihnen beigezogene ophtalmologische Konsilium des Dr. med. H.________ keine Pathologien ergab (vgl. Beiblatt zum Austrittsbericht vom 17. November 2009.</w:t>
      </w:r>
    </w:p>
    <w:p>
      <w:r>
        <w:rPr>
          <w:b/>
        </w:rPr>
        <w:t>E. 4.3</w:t>
      </w:r>
    </w:p>
    <w:p>
      <w:r>
        <w:t>Mit der Vorinstanz, auf deren zutreffende Erwägungen verwiesen wird, ist in antizipierender Beweiswürdigung davon auszugehen, dass von den beantragten medizinischen Abklärungen bezogen auf die Folgen des Unfalles vom 21. Oktober 2009 keine neuen Erkenntnisse zu erwarten wären (vgl. BGE 124 V 90 E. 4b S. 94), weshalb darauf zu verzichten ist.</w:t>
      </w:r>
    </w:p>
    <w:p>
      <w:r>
        <w:rPr>
          <w:b/>
        </w:rPr>
        <w:t>E. 4.4</w:t>
      </w:r>
    </w:p>
    <w:p>
      <w:r>
        <w:t>Zu prüfen bleibt, ob der Beschwerdeführer ab 14. Juni 2010 wieder vollständig arbeitsfähig gewesen war und er daher ab diesem Zeitpunkt keinen Anspruch auf Taggeld mehr hatte (vgl. Art. 16 Abs. 2 Satz 2 UVG ). Anlässlich der Besprechung im Betrieb der B.________ AG vom 17. Mai 2010 (vgl. Bericht des SUVA-Aussendienstes vom 19. Mai 2010) hielt der leitende Bauführer der Arbeitgeberin u.a. fest, der Versicherte könne wie bisher hauptsächlich (zu 80 %) als Lenker des Raupenbaggers oder eines Dumper wie auch für andere leichtere Bauarbeitertätigkeiten eingesetzt werden. Wenn der Beschwerdeführer danach nicht, wie abgesprochen, die bisherige Arbeitstätigkeit zunächst teilzeitlich und ab 14. Juni 2010 vollzeitlich aufnahm, lagen dafür unfallfremde Gründe vor. Die Klinik D.________ hielt im Austrittsbericht vom 14. April 2010 sowohl diagnostisch als auch in der Beurteilung der medizinischen Befunde fest, dem Versicherten sollte die Aufnahme des angestammten Berufs innert einem bis zwei Monaten möglich sein, wobei die fragliche Prognose vor allem den maladaptiven Überzeugungen des Versicherten geschuldet sei. Somit ist anzunehmen, dass der Beschwerdeführer spätestens ab 14. Juni 2010 uneingeschränkt als Lenker von Baumaschinen und daneben zumindest teilweise im Rahmen von vergleichbaren leichteren Tätigkeiten auf dem Bau hätte arbeiten können. Der davon abweichenden Meinung des med. pract. G.________ (Berichte vom 7. Oktober 2010, 19. Dezember 2011 und 5. April 2012) war gemäss zutreffenden Erwägungen der Vorinstanz nicht zu folgen, weil aufgrund seiner auftragsrechtlichen Vertrauensstellung das Einfliessen subjektiver Faktoren nicht auszuschliessen war (vgl. BGE 135 V 456 E. 4.5 S. 470). Ab dem genannten Zeitpunkt verschlechterte sich unstreitig der unfallbedingte Gesundheitszustand bis Erlass des Einspracheentscheids vom 10. Mai 2012 nicht in revisionsrechtlich erheblicher Weise, weshalb davon auszugehen ist, dass der Beschwerdeführer weiterhin ein den Anspruch auf Invalidenrente (vgl. Art. 18 Abs. 1 UVG ) ausschliessendes Erwerbseinkommen hätte erzielen können. Die Vorinstanz hat daher, entgegen den Vorbringen des Beschwerdeführers zu Recht darauf verzichtet, einen Einkommensvergleich gemäss Art. 16 ATSG vorzunehmen.</w:t>
      </w:r>
    </w:p>
    <w:p>
      <w:r>
        <w:rPr>
          <w:b/>
        </w:rPr>
        <w:t>E. 5</w:t>
      </w:r>
    </w:p>
    <w:p>
      <w:r>
        <w:t>Dem Gesuch um Gewährung der unentgeltlichen Rechtspflege ist stattzugeben, da die Bedürftigkeit ausgewiesen ist, die Beschwerde nicht als aussichtslos bezeichnet werden kann und die anwaltliche Vertretung geboten war ( Art. 64 Abs. 1 und 2 BGG ; vgl. BGE 125 V 201 E. 4a S. 202 und 371 E. 5b S. 372). Es wird eine aufwandgemässe Entschädigung zugesprochen. Der Beschwerdeführer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