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8C_131/2015 vom 6. August 2015</w:t>
      </w:r>
    </w:p>
    <w:p>
      <w:r>
        <w:t>Bundesgericht, 2015-08-06, DE</w:t>
      </w:r>
    </w:p>
    <w:p>
      <w:r>
        <w:rPr>
          <w:b/>
        </w:rPr>
        <w:t xml:space="preserve">Quelle: </w:t>
      </w:r>
      <w:r>
        <w:t>https://mcp.opencaselaw.ch/entscheid/bger_8C_131_2015</w:t>
      </w:r>
    </w:p>
    <w:p>
      <w:r>
        <w:t>FR: TF 8C_131/2015 du 6 août 2015</w:t>
      </w:r>
    </w:p>
    <w:p>
      <w:r>
        <w:t>IT: TF 8C_131/2015 del 6 agosto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Bundesrecht verletzt hat, als sie die Aufhebung der Rente des Beschwerdeführer auf Ende des der Zustellung der Verfügung vom 12. August 2014 folgenden Monat bestätigt hat.</w:t>
      </w:r>
    </w:p>
    <w:p>
      <w:r>
        <w:rPr>
          <w:b/>
        </w:rPr>
        <w:t>E. 3.1</w:t>
      </w:r>
    </w:p>
    <w:p>
      <w:r>
        <w:t>Ändert sich der Invaliditätsgrad einer Rentenbezügerin oder eines Rentenbezügers erheblich, so wird die Rente gemäss Art. 17 Abs. 1 ATSG von Amtes wegen oder auf Gesuch hin für die Zukunft entsprechend erhöht, herabgesetzt oder aufgehoben. Der Versicherungsträger kann zudem nach Art. 53 Abs. 2 ATSG auf formell rechtskräftige Verfügungen oder Einspracheentscheide zurückkommen, wenn diese zweifellos unrichtig sind und wenn ihre Berichtigung von erheblicher Bedeutung ist. Diese Befugnis des Versicherungsträgers ist rechtsprechungsgemäss nicht auf zehn Jahre seit Erlass der unrichtigen Verfügung befristet ( BGE 140 V 514 E. 3 S. 516 ff.)</w:t>
      </w:r>
    </w:p>
    <w:p>
      <w:r>
        <w:rPr>
          <w:b/>
        </w:rPr>
        <w:t>E. 3.2</w:t>
      </w:r>
    </w:p>
    <w:p>
      <w:r>
        <w:t>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 BGE 140 V 85 E. 4.2 S. 88; 125 V 368 E. 3 S. 369).</w:t>
      </w:r>
    </w:p>
    <w:p>
      <w:r>
        <w:rPr>
          <w:b/>
        </w:rPr>
        <w:t>E. 4</w:t>
      </w:r>
    </w:p>
    <w:p>
      <w:r>
        <w:t>Das kantonale Gericht hat die Revisonsverfügung der IV-Stelle vom 12. August 2014 mit der substituierten Begründung der Wiedererwägung geschützt: Entgegen den Vorbringen des Beschwerdeführers ist für eine solche Vorgehensweise kein expliziter Antrag der IV-Stelle nötig; den Parteien ist aber vor einer solchen Rechtsanwendung von Amtes wegen durch das kantonale Gericht das rechtliche Gehör zu gewähren ( BGE 125 V 368 E. 4 S. 370 f.). Die Vorinstanz hat mit Verfügung vom 17. November 2014 den Parteien die Möglichkeit zur Stellungnahme zu einer allfälligen substituierten Begründung gegeben; beide Parteien haben von dieser Möglichkeit Gebrauch gemacht. Damit hat das kantonale Gericht den bundesrechtlichen Vorgaben entsprochen; daran vermag auch der Umstand nichts zu ändern, dass es gleichzeitig mit der Gewährung des rechtlichen Gehörs den Schriftenwechsel für "geschlossen" erklärte. Was der Beschwerdeführer materiell gegen die Erwägungen der Vorinstanz, die ursprüngliche Rentenzusprache vom 1. März 2003 sei zweifellos unrichtig erfolgt, vorbringt, vermag diese nicht als bundesrechtswidrig erscheinen zu lassen. Da die Verwaltung zudem rechtsprechungsgemäss auch mehr als zehn Jahre nach Erlass der Verfügung wiedererwägungsweise auf diese zurückkommen durfte (vgl. E. 3.1 hievor), ist auch die vorinstanzliche Motivsubstitution knapp zwölf Jahre nach Erlass der ursprünglichen Verfügung rechtens. Somit hat die Vorinstanz nicht gegen Bundesrecht verstossen, als sie die Rentenaufhebung bestätigt hat; die Beschwerde des Versicherten ist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