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8C_130/2025 vom 12. März 2025</w:t>
      </w:r>
    </w:p>
    <w:p>
      <w:r>
        <w:t>Bundesgericht, 2025-03-12, DE</w:t>
      </w:r>
    </w:p>
    <w:p>
      <w:r>
        <w:rPr>
          <w:b/>
        </w:rPr>
        <w:t xml:space="preserve">Quelle: </w:t>
      </w:r>
      <w:r>
        <w:t>https://mcp.opencaselaw.ch/entscheid/bger_8C_130_2025</w:t>
      </w:r>
    </w:p>
    <w:p>
      <w:r>
        <w:t>FR: TF 8C_130/2025 du 12 mars 2025</w:t>
      </w:r>
    </w:p>
    <w:p>
      <w:r>
        <w:t>IT: TF 8C_130/2025 del 12 marzo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Eine Ausnahme davon besteht allein bei Beschwerden gegen einen Entscheid über die Zusprechung oder Verweigerung von Geldleistungen der Militär- oder Unfallversicherung. Dort kann jede unrichtige oder unvollständige Feststellung des rechtserheblichen Sachverhalts gerügt werden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angefochtenen Urteil vom 30. Januar 2025 in Auseinandersetzung mit den Parteivorbringen und in Würdigung der Akten dar, weshalb die Beschwerdegegnerin mit Einspracheentscheid vom 6. November 2023 eine Leistungspflicht für das am 21. August 2023 gemeldete Ereignis vom 31. März 2023 verneinen durfte. Demnach fehle es an der Unfalleigenschaft nach Art. 4 ATSG . Sodann stellten die anlässlich der MRI-Untersuchung vom 17. April 2023 erkannte Ruptur des vorderen Kreuzbands wie auch die Korbhenkelläsion des Innenmeniskus zwar eine unfallähnliche Körperschädigung dar. Diese Befunde seien indessen mit überwiegender Wahrscheinlichkeit vorwiegend auf Abnützung oder Erkrankung zurückzuführen, was eine Leistungspflicht des Unfallversicherers nicht nur nach Art. 6 Abs. 1 UVG , sondern auch nach dessen Abs. 2 ausschliesse.</w:t>
      </w:r>
    </w:p>
    <w:p>
      <w:r>
        <w:rPr>
          <w:b/>
        </w:rPr>
        <w:t>E. 3</w:t>
      </w:r>
    </w:p>
    <w:p>
      <w:r>
        <w:t>Allein den Geschehensablauf aus eigener Sicht darzulegen und unter Verweis auf die in der MRI-Bildgebung festgestellten Gesundheitsbeeinträchtigungen - insbesondere die Teilresektion des Innenmeniskus - weitere medizinische Abklärungen zu fordern, ohne auf das von der Vorinstanz dazu Erwogene näher einzugehen, reicht nicht aus, um den eingangs aufgezeigten minimalen Begründungsanforderungen gemäss Art. 42 Abs. 2 BGG zu genügen. Inwiefern die vorinstanzlichen Feststellungen zum Ereignishergang (plötzlich einschiessender Schmerz bei normalem Gehen) im Sinne von Art. 97 Abs. 2 BGG unrichtig sein und die darauf beruhenden Erwägungen gegen Bundesrecht verstossen oder einen anderen Beschwerdegrund (vgl. Art. 95 lit. a-e BGG ) gesetzt haben sollen, ist damit nicht dargetan.</w:t>
      </w:r>
    </w:p>
    <w:p>
      <w:r>
        <w:rPr>
          <w:b/>
        </w:rPr>
        <w:t>E. 4</w:t>
      </w:r>
    </w:p>
    <w:p>
      <w:r>
        <w:t>Da dieser Begründungsmangel offensichtlich ist, führt dies zu einem Nichteintreten auf das Rechtsmittel im vereinfachten Verfahren nach Art. 108 Abs. 1 lit. b BGG .</w:t>
      </w:r>
    </w:p>
    <w:p>
      <w:r>
        <w:rPr>
          <w:b/>
        </w:rPr>
        <w:t>E. 5</w:t>
      </w:r>
    </w:p>
    <w:p>
      <w:r>
        <w:t>Das in der Beschwerdeschrift gestellte Gesuch um unentgeltliche Rechtspflege ist wegen aussichtsloser Beschwerdeführung abzuweisen ( Art. 64 Abs. 1 BGG ). In Anwendung von Art. 66 Abs. 1 Satz 2 BGG kann jedoch ausnahmsweise nochmals (vgl. Urteile 8C_759/2021 und 8C_761/2021 je vom 18. November 2021 sowie Urteil 8C_363/2022 vom 10. Juni 2022) auf die Erhebung von Gerichtskosten verzichtet werden. Indessen darf die Beschwerdeführerin bei gleichbleibenden künftigen Eingaben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