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8C_12/2025 vom 27. Februar 2025</w:t>
      </w:r>
    </w:p>
    <w:p>
      <w:r>
        <w:t>Bundesgericht, 2025-02-27, DE</w:t>
      </w:r>
    </w:p>
    <w:p>
      <w:r>
        <w:rPr>
          <w:b/>
        </w:rPr>
        <w:t xml:space="preserve">Quelle: </w:t>
      </w:r>
      <w:r>
        <w:t>https://mcp.opencaselaw.ch/entscheid/bger_8C_12_2025</w:t>
      </w:r>
    </w:p>
    <w:p>
      <w:r>
        <w:t>FR: TF 8C_12/2025 du 27 février 2025</w:t>
      </w:r>
    </w:p>
    <w:p>
      <w:r>
        <w:t>IT: TF 8C_12/2025 del 27 febbraio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29. Oktober 2024 in Auseinandersetzung mit den Parteivorbringen und in Würdigung der Akten dar, weshalb die vom Beschwerdeführer gegenüber der Beschwerdegegnerin geltend gemachten diversen Schadenersatzansprüche allesamt unbegründet sind. Hinsichtlich der aus Handlungen des Sanatoriums B.________ abgeleiteten Schadenersatzansprüche führte die Vorinstanz unter Verweis auf Art. 78 Abs. 1 ATSG aus, die Beschwerdegegnerin könne lediglich für Schäden haftbar gemacht werden, die von ihren Durchführungsorgane oder einzelnen Funktionären zugefügt worden seien. Beim genannten Sanatorium sei lediglich eine Einschätzung des medizinischen Sachverhalts eingeholt worden, ohne dass diese in die Versicherungsdurchführung einbezogen worden sei, was eine Haftung der Beschwerdegegnerin für Handlungen des Sanatoriums von vornherein ausschliesse. Soweit der Beschwerdeführer hingegen Schadenersatz für im Rahmen von der Beschwerdegegnerin gewährten berufliche Massnahmen bei der C.________ GmbH (heute: C.________ AG), der Stiftung D.________, sowie beim Verein E.________ geltend machte, prüfte das kantonale Gericht näher, ob diesen Institutionen ein widerrechtliches Handeln im Sinne von Art. 78 Abs. 1 ATSG vorgeworfen werden könnte und verneinte dies.</w:t>
      </w:r>
    </w:p>
    <w:p>
      <w:r>
        <w:rPr>
          <w:b/>
        </w:rPr>
        <w:t>E. 3</w:t>
      </w:r>
    </w:p>
    <w:p>
      <w:r>
        <w:t>Zwar wiederholt der Beschwerdeführer einlässlich den Geschehensablauf im streitbetroffenen Zeitraum 2012 bis 2018, in welchem die bereits erwähnten Durchführungsorgane wie auch das Sanatorium angeblich widerrechtlich gehandelt haben sollen. Inwiefern die von der Vorinstanz dazu getroffenen Sachverhaltsfeststellungen offensichtlich unrichtig (vgl. Art. 97 Abs. 1 BGG ) - mithin willkürlich ( BGE 146 IV 88 E. 1.3.1 f. und 140 III 115 E. 2; je mit Hinweisen) - oder sonstwie bundesrechtswidrig sein sollen, zeigt er indessen nicht auf. Ebenso wenig legt er dar, weshalb die darauf beruhenden Erwägungen gegen Bundesrecht verstossen oder einen anderen Beschwerdegrund (vgl. Art. 95 lit. a-e BGG ) gesetzt haben könnten. Allein das vor Vorinstanz Vorgetragene wortreich zu wiederholen, ohne sich mit den dazu ergangenen Erwägungen näher auseinanderzusetzen, reicht nicht aus. Sodann verschliesst sich dem Gericht, was der Beschwerdeführer aus dem Umstand, dass er sich seit dem Jahr 2022 auf dem ersten Arbeitsmarkt als Erwerbstätiger selbstständig zu behaupten vermag, für die vorliegende Streitigkeit zu seinen Gunsten ableiten will. Eine willkürliche Feststellung der in den Jahren 2012 bis 2018 gegebenen Umstände ist damit nicht dargetan. Schliesslich ist nicht nachvollziehbar ausgeführt, weshalb die von der Vorinstanz vorgenommene Verfahrensvereinigung gegen Bundesrecht verstossen haben könnte. Inwiefern dem Beschwerdeführer durch das Zusammenlegen der Prozesse ein Rechtsnachteil erwachsen sein könnte, ist nicht ersichtlich. Die von ihm in diesem Zusammenhang angerufenen Rechtsbestimmungen lassen keinen solchen Schluss zu.</w:t>
      </w:r>
    </w:p>
    <w:p>
      <w:r>
        <w:rPr>
          <w:b/>
        </w:rPr>
        <w:t>E. 4</w:t>
      </w:r>
    </w:p>
    <w:p>
      <w:r>
        <w:t>Erweist sich die Beschwerde als offensichtlich ungenügend begründet, kann das Rechtsmittel im vereinfachten Verfahren nach Art. 108 Abs. 1 lit. b BGG erledigt werden.</w:t>
      </w:r>
    </w:p>
    <w:p>
      <w:r>
        <w:rPr>
          <w:b/>
        </w:rPr>
        <w:t>E. 5</w:t>
      </w:r>
    </w:p>
    <w:p>
      <w:r>
        <w:t>Ein erneuter ausnahmsweiser Verzicht auf die Erhebung von Gerichtskosten steht ausser Frage ( Art. 66 Abs. 1 BGG ; vgl. den Hinweis im Urteil 8C_551/2023 vom 15. September 2023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