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8C_12/2017 vom 28. Februar 2017</w:t>
      </w:r>
    </w:p>
    <w:p>
      <w:r>
        <w:t>Bundesgericht, 2017-02-28, DE</w:t>
      </w:r>
    </w:p>
    <w:p>
      <w:r>
        <w:rPr>
          <w:b/>
        </w:rPr>
        <w:t xml:space="preserve">Quelle: </w:t>
      </w:r>
      <w:r>
        <w:t>https://mcp.opencaselaw.ch/entscheid/bger_8C_12_2017</w:t>
      </w:r>
    </w:p>
    <w:p>
      <w:r>
        <w:t>FR: TF 8C_12/2017 du 28 février 2017</w:t>
      </w:r>
    </w:p>
    <w:p>
      <w:r>
        <w:t>IT: TF 8C_12/2017 del 28 febbraio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für die Beurteilung relevanten Rechtsgrundlagen finden sich im kantonalen Entscheid. Sie sind zutreffend dargelegt. Darauf wird verwiesen.</w:t>
      </w:r>
    </w:p>
    <w:p>
      <w:r>
        <w:rPr>
          <w:b/>
        </w:rPr>
        <w:t>E. 2.2</w:t>
      </w:r>
    </w:p>
    <w:p>
      <w:r>
        <w:t>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siehe auch BGE 133 V 545 ). Liegt in diesem Sinne ein Revisionsgrund vor, ist der Rentenanspruch in rechtlicher und tatsächlicher Hinsicht allseitig neu zu prüfen, wobei keine Bindung an frühere Beurteilungen besteht ( BGE 117 V 198 E. 4b S. 200; 141 V 9 E. 2.3 S. 11 mit Hinweisen und E. 6.1 S. 13).</w:t>
      </w:r>
    </w:p>
    <w:p>
      <w:r>
        <w:rPr>
          <w:b/>
        </w:rPr>
        <w:t>E. 2.3</w:t>
      </w:r>
    </w:p>
    <w:p>
      <w:r>
        <w:t>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Die Frage, ob ein Abzug vom Tabellenlohn vorzunehmen sei oder nicht, stellt eine vom Bundesgericht frei zu prüfende Rechtsfrage dar ( BGE 132 V 393 E. 3.3 S. 399).</w:t>
      </w:r>
    </w:p>
    <w:p>
      <w:r>
        <w:rPr>
          <w:b/>
        </w:rPr>
        <w:t>E. 3</w:t>
      </w:r>
    </w:p>
    <w:p>
      <w:r>
        <w:t>Das kantonale Gericht erwog, es sei kein leidensbedingter Abzug vorzunehmen. Es gäbe auf dem relevanten ausgeglichenen Arbeitsmarkt ( Art. 16 ATSG ) Nischenarbeitsplätze, die mit Blick auf das funktionelle Leistungsprofil des Versicherten die notwendigen Rahmenbedingungen - wie ein nur mässiger Zeitdruck, strukturierte Arbeitszeiten, keine hohen Anforderungen an selbstständige Problemlösungsfähigkeiten, eine ruhige Umgebung usw. - bieten könnten. Daher sei ein leidensbedingter Abzug aufgrund der neuropsychologischen Einschränkungen nicht gerechtfertigt, zumal diese Defizite bereits in der attestierten 40%-igen Arbeitsunfähigkeit berücksichtigt worden seien. Ebenso wenig führe der Umstand, dass der Beschwerdeführer nur noch teilzeitlich tätig sein könne, zu einem weiteren Abzug vom Tabellenlohn, da hieraus keine Lohneinbusse resultiere.</w:t>
      </w:r>
    </w:p>
    <w:p>
      <w:r>
        <w:rPr>
          <w:b/>
        </w:rPr>
        <w:t>E. 4</w:t>
      </w:r>
    </w:p>
    <w:p>
      <w:r>
        <w:t>Nicht zu beanstanden ist, dass die Vorinstanz insofern von einer Entwicklung des Valideneinkommens und damit von einer revisionsbegründenden Tatsachenänderung ausgegangen ist, als aufgrund des vollendeten 30. Altersjahres des Beschwerdeführers neu nach Art. 26 Abs. 1 IVV der ungekürzte Medianwert für das Valideneinkommen massgeblich ist.</w:t>
      </w:r>
    </w:p>
    <w:p>
      <w:r>
        <w:rPr>
          <w:b/>
        </w:rPr>
        <w:t>E. 5.1</w:t>
      </w:r>
    </w:p>
    <w:p>
      <w:r>
        <w:t>Streitig ist einzig, ob ein leidens- oder behinderungsbedingter Abzug vom tabellarisch ermittelten Invalideneinkommen zu gewähren ist.</w:t>
      </w:r>
    </w:p>
    <w:p>
      <w:r>
        <w:rPr>
          <w:b/>
        </w:rPr>
        <w:t>E. 5.2</w:t>
      </w:r>
    </w:p>
    <w:p>
      <w:r>
        <w:t>Die Vorinstanz zog aus sämtlichen medizinischen Berichten, namentlich aus dem neuropsychologischen Fachgutachten der Frau Dipl. Psych. D.________ und des Dr. phil. Dipl. Psych. E.________, Praxis für Klinische Neuropsychologie, vom 14. Januar 2010 und dem Abklärungsbericht des Zentrums F.________, vom 19. Dezember 2012 den Schluss, der Versicherte sei weiterhin unter Beachtung der bereits im Bericht der Klinik C.________ vom 26. Februar 2007 formulierten Rahmenbedingungen, welche die vorhandenen neuropsychologischen Defizite berücksichtigten, unverändert in einem 60%-igen Pensum voll leistungsfähig. Dies ist nicht offensichtlich unrichtig. Es besteht demnach aufgrund von neuropsychologischen Defiziten bei Status nach einem am 12. August 1995 erlittenen schweren Schädel-Hirn-Traumaweiterhin eine Restarbeitsfähigkeit von 60 % mit im Vergleich zur Verfügung vom 3. Juni 2008 gleich gebliebenem Zumutbarkeitsprofil. Damit ist - was auch nicht behauptet wird - keine erhebliche Änderung der gesundheitlichen Verhältnisse seit der verfügungsweisen Festsetzung einer Viertelsrente am 3. Juni 2008 eingetreten.</w:t>
      </w:r>
    </w:p>
    <w:p>
      <w:r>
        <w:rPr>
          <w:b/>
        </w:rPr>
        <w:t>E. 5.3</w:t>
      </w:r>
    </w:p>
    <w:p>
      <w:r>
        <w:t>Das Valideneinkommen wurde in Anwendung von Art. 26 Abs. 1 IVV gestützt auf den Medianwert gemäss der vom Bundesamt für Statistik herausgegebenen Schweizerischen Lohnstrukturerhebung (LSE) berechnet. Hieraus ergab sich nach vorinstanzlicher Feststellung ein hypothetischer Wert von Fr. 82'500.- (vgl. IV-Rundschreiben Nr. 329 vom 18. Dezember 2014). Das Invalideneinkommen ermittelte die Vorinstanz sodann anhand der Tabelle T17 der LSE 2014, Berufsgruppe Ziff. 4 "Bürokräfte und verwandte Berufe", Total, Männer (unabhängig vom Lebensalter), woraus sie einen Bruttolohn von monatlich Fr. 5'789.- ableitete. Bei einer Restarbeitsfähigkeit von 60 % resultierte - unter Berücksichtigung der betriebsüblichen Wochenarbeitszeit sowie aufindexiert für das Jahr 2015 - ein Invalideneinkommen von Fr. 43'569.67 und verglichen mit dem Valideneinkommen ein Invaliditätsgrad von 47 %.</w:t>
      </w:r>
    </w:p>
    <w:p>
      <w:r>
        <w:rPr>
          <w:b/>
        </w:rPr>
        <w:t>E. 5.4</w:t>
      </w:r>
    </w:p>
    <w:p>
      <w:r>
        <w:t>Im Zusammenhang mit der Verwertbarkeit der attestierten Restarbeitsfähigkeit wies die Vorinstanz korrekterweise darauf hin, dass der ausgeglichene Arbeitsmarkt auch Nischenarbeitsplätze umfasst (Urteil 8C_740/2014 vom 11. Februar 2015 E. 3.4.3 mit Hinweis), weshalb mit Blick auf das funktionelle Leistungsprofil des Versicherten und den einzuhaltenden Rahmenbedingungen genügend Stellen vorhanden sind. Aus dieser Tatsache kann für die Frage nach der Höhe des leidensbedingten Abzuges aber nichts abgeleitet werden, wie der Beschwerdeführer richtig anmerkt; die Zusammensetzung des Arbeitsmarktes gilt allgemein und stellt keinen persönlichen oder beruflichen Umstand dar, welcher im Einzelfall eine Herabsetzung des Tabellenlohnes rechtfertigen würde. Es steht im Übrigen auch nicht fest, dass die Restarbeitsfähigkeit des Versicherten nur an einem Nischenarbeitsplatz verwertet werden könnte.</w:t>
      </w:r>
    </w:p>
    <w:p>
      <w:r>
        <w:rPr>
          <w:b/>
        </w:rPr>
        <w:t>E. 5.5.1</w:t>
      </w:r>
    </w:p>
    <w:p>
      <w:r>
        <w:t>Wie die Vorinstanz überzeugend darlegte, fanden die neuropsychologischen Einschränkungen bereits bei der Festsetzung der verbleibenden Arbeitsfähigkeit Berücksichtigung. Im neuropsychologischen Fachgutachten vom 14. Januar 2010 wurde die eingeschränkte Arbeitsfähigkeit mit einer reduzierten Belastbarkeit, einer verlängerten Erholungsphase, erschwertem Lernen, Einbussen in der Aufmerksamkeit, einschliesslich der Informationsverarbeitungsgeschwindigkeit unter komplexen Reiz- und Reaktionsbedingungen, begründet. Dies deckt sich mit den in den übrigen Berichten formulierten Auswirkungen auf die Arbeitsfähigkeit. Ein weitergehender Einbezug der gesundheitlichen Einschränkungen, einschliesslich der Verhaltensauffälligkeiten, beim Abzug vom Tabellenlohn würde somit eine unzulässige doppelte Berücksichtigung darstellen (vgl. Urteil 8C_678/2015 vom 9. Juni 2016 E. 5.6 mit Hinweis).</w:t>
      </w:r>
    </w:p>
    <w:p>
      <w:r>
        <w:rPr>
          <w:b/>
        </w:rPr>
        <w:t>E. 5.5.2</w:t>
      </w:r>
    </w:p>
    <w:p>
      <w:r>
        <w:t>Entgegen den Ausführungen des Versicherten ist es mit Blick auf die konkrete Situation auch nicht bundesrechtswidrig, bei einem Beschäftigungsgrad von 60 % keinen Abzug zu gewähren. Gemäss der gestützt auf die LSE 2012 erstellten Tabelle zu den nach Beschäftigungsgrad, Geschlecht und beruflicher Stellung differenzierten monatlichen Durchschnittsbruttolöhnen, die im Anhang des vom Bundesamt für Sozialversicherungen herausgegebenen IV-Rundschreibens Nr. 328 vom 22. Oktober 2014 veröffentlicht wurde, besteht bei Männern ohne Kaderfunktion zwischen dem Durchschnittslohn bei einem Teilzeitpensum von 50-74 % proportional bezogen auf ein 100%-Pensum (Fr. 6'080.-) und dem Durchschnittslohn bei einem Vollzeitpensum (Fr. Fr. 6'085.-) eine vernachlässigbare Differenz (von Fr. 5.-), worauf die Vorinstanz bereits verwies. Bei Berücksichtigung der für das Jahr 2014 aktualisierten Tabelle besteht zwar bei den angegebenen Werten (Fr. 5'714.- [Teilzeitpensum] und Fr. 6'069.- [Vollzeitpensum] eine Differenz von Fr. 355.- oder 5,85 %). Hieraus jedoch eine überproportionale Lohneinbusse abzuleiten, die bei Nichtberücksichtigung eine Bundesrechtswidrigkeit begründen würde, geht fehl (vgl. MEYER/REICHMUTH, Rechtsprechung des Bundesgerichts zum Sozialversicherungsrecht, Bundesgesetz über die Invalidenversicherung [IVG], 3. Aufl. 2014, N. 104 zu Art. 28a IVG ). Die vorinstanzliche Invaliditätsbemessung hält stand.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