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8C_12/2013 vom 13. Februar 2013</w:t>
      </w:r>
    </w:p>
    <w:p>
      <w:r>
        <w:t>Bundesgericht, 2013-02-13, DE</w:t>
      </w:r>
    </w:p>
    <w:p>
      <w:r>
        <w:rPr>
          <w:b/>
        </w:rPr>
        <w:t xml:space="preserve">Quelle: </w:t>
      </w:r>
      <w:r>
        <w:t>https://mcp.opencaselaw.ch/entscheid/bger_8C_12_2013</w:t>
      </w:r>
    </w:p>
    <w:p>
      <w:r>
        <w:t>FR: TF 8C_12/2013 du 13 février 2013</w:t>
      </w:r>
    </w:p>
    <w:p>
      <w:r>
        <w:t>IT: TF 8C_12/2013 del 13 febbraio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Gemäss Art. 28 Abs. 2 IVG wird die Rente nach dem Grad der Invalidität abgestuft. Bei einem Invaliditätsgrad von mindestens 60 % besteht Anspruch auf eine Dreiviertelsrente; bei einem solchen von mindestens 70 % auf eine ganze Rente.</w:t>
      </w:r>
    </w:p>
    <w:p>
      <w:r>
        <w:rPr>
          <w:b/>
        </w:rPr>
        <w:t>E. 2.3</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2.4</w:t>
      </w:r>
    </w:p>
    <w:p>
      <w:r>
        <w:t>Streitig und zu prüfen ist, ob der Beschwerdeführer ab 1. März 2011 Anspruch auf eine höhere als die zugesprochene Dreiviertelsrente hat.</w:t>
      </w:r>
    </w:p>
    <w:p>
      <w:r>
        <w:rPr>
          <w:b/>
        </w:rPr>
        <w:t>E. 3.1</w:t>
      </w:r>
    </w:p>
    <w:p>
      <w:r>
        <w:t>Das kantonale Gericht hat in umfassender Würdigung der medizinischen Akten für das Bundesgericht grundsätzlich verbindlich festgestellt, dass der Beschwerdeführer in einer körperlich sehr leichten, praktisch ausschliesslich sitzenden Tätigkeit, welche auch die weiteren einschränkenden Kriterien berücksichtigt, zu 60 % arbeitsfähig ist.</w:t>
      </w:r>
    </w:p>
    <w:p>
      <w:r>
        <w:rPr>
          <w:b/>
        </w:rPr>
        <w:t>E. 3.2</w:t>
      </w:r>
    </w:p>
    <w:p>
      <w:r>
        <w:t>Der Beschwerdeführer bringt vor, die ihm verbleibende medizinisch-theoretische Arbeitsfähigkeit sei auch auf dem theoretisch ausgeglichenen Arbeitsmarkt nicht verwertbar. Beim ausgeglichenen Arbeitsmarkt handelt es sich um eine theoretische Grösse, so dass eine Unverwertbarkeit der verbliebenen Leistungsfähigkeit nicht leichthin angenommen werden kann (Urteil 8C_724/2012 vom 8. Januar 2013 E. 4.3). An der Massgeblichkeit des theoretisch ausgeglichenen Arbeitsmarkt vermag auch der Umstand nichts zu ändern, dass es für die versicherte Person im Einzelfall schwierig oder gar unmöglich ist, auf dem tatsächlichen Arbeitsmarkt eine entsprechende Stelle zu finden (vgl. Urteil 8C_237/2011 vom 19. August 2011 E. 2.3). So geht die Gerichtspraxis etwa davon aus, dass gar für funktionelle Einarmige auf dem theoretisch ausgeglichenen Arbeitsmarkt genügend realistische Betätigungsmöglichkeiten bestehen (vgl. etwa Urteil 8C_1050/2009 vom 28. April 2010 E. 3.4), oder dass selbst ein auf 25 % beschränktes Pensum verwertbar ist (Urteil 8C_489/2007 vom 28. Dezember 2007 E. 4.1). Praxisgemäss rechtfertigt es sich auch, im Bereich des Sozialversicherungsrecht einen strengeren Massstab an die Unverwertbarkeit als im Haftpflichtrecht anzulegen (vgl. erwähnte Erwägung 4.1 im Urteil 8C_489/2007 vom 28. Dezember 2007). Im Lichte dieser Rechtsprechung hat die Vorinstanz kein Bundesrecht verletzt, als sie von der grundsätzlichen Verwertbarkeit der medizinisch-theoretischen Leistungsfähigkeit des Versicherten ausgegangen ist. Zu denken ist etwa an einfache Überwachungs-, Prüf- und Kontrolltätigkeiten sowie an die Bedienung und Überwachung von automatischen Maschinen und Produktionseinheiten, die mit keinerlei körperlicher Anstrengung verbunden sind. Entgegen seinen Vorbringen wird eine entsprechende Tätigkeit den Beschwerdeführer auch intellektuell nicht überfordern.</w:t>
      </w:r>
    </w:p>
    <w:p>
      <w:r>
        <w:rPr>
          <w:b/>
        </w:rPr>
        <w:t>E. 3.3</w:t>
      </w:r>
    </w:p>
    <w:p>
      <w:r>
        <w:t>Die Vorinstanz hat das Invalideneinkommen des Versicherten aufgrund von Tabellenlöhnen der LSE festgesetzt und ihm hiebei einen Abzug vom Tabellenlohn im Sinne von BGE 126 V 75 E. 5 S. 78 ff. in der Höhe von 10 % eingeräumt. Ob dieser Abzug bundesrechtswidrig zu tief angesetzt wurde, braucht nicht näher geprüft zu werden, da - wie bereits das kantonale Gericht ausgeführt hat - auch bei der Gewährung des maximal zulässigen Abzuges von 25 % kein Invaliditätsgrad resultierte, welcher Anspruch auf eine höhere als die zugesprochene Dreiviertelsrente gäbe. Der vorinstanzliche Entscheid ist demnach nicht zu beanstanden; die Beschwerde des Versicherten ist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