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8C_12/2010 vom 4. Mai 2010</w:t>
      </w:r>
    </w:p>
    <w:p>
      <w:r>
        <w:t>Bundesgericht, 2010-05-04, DE</w:t>
      </w:r>
    </w:p>
    <w:p>
      <w:r>
        <w:rPr>
          <w:b/>
        </w:rPr>
        <w:t xml:space="preserve">Quelle: </w:t>
      </w:r>
      <w:r>
        <w:t>https://mcp.opencaselaw.ch/entscheid/bger_8C_12_2010</w:t>
      </w:r>
    </w:p>
    <w:p>
      <w:r>
        <w:t>FR: TF 8C_12/2010 du 4 mai 2010</w:t>
      </w:r>
    </w:p>
    <w:p>
      <w:r>
        <w:t>IT: TF 8C_12/2010 del 4 maggio 2010</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2.1</w:t>
      </w:r>
    </w:p>
    <w:p>
      <w:r>
        <w:t>Die versicherte Person ist in der Anspruchsberechtigung einzustellen, wenn sie durch eigenes Verschulden arbeitslos ist ( Art. 30 Abs. 1 lit. a AVIG ). Die Arbeitslosigkeit gilt unter anderem dann als selbstverschuldet, wenn die versicherte Person das Arbeitsverhältnis von sich aus aufgelöst hat, ohne dass ihr eine andere Stelle zugesichert war, es sei denn, dass ihr das Verbleiben an der Arbeitsstelle nicht zugemutet werden konnte ( Art. 44 Abs. 1 lit. b AVIV ). Unzumutbar ist eine Arbeit, die dem Alter, den persönlichen Verhältnissen oder dem Gesundheitszustand der versicherten Person nicht angemessen ist ( Art. 16 Abs. 2 lit. c AVIG ).</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8C_842/2008 vom 3. Februar 2009 E. 3.2 mit Hinweis; THOMAS NUSSBAUMER, Arbeitslosenversicherung, in: Soziale Sicherheit, SBVR Bd. XIV, 2. Aufl. 2007, S. 2426 Rz. 829). Der im gesamten Sozialversicherungsrecht geltenden Schadenminderungspflicht ( Art. 17 Abs. 1 AVIG ) folgend muss eine versicherte Person alles Zumutbare unternehmen, um den Eintritt oder das Fortdauern der Arbeitslosigkeit zu vermeiden. Im Bereich der freiwilligen Stellenaufgabe nach Art. 44 Abs. 1 lit. b AVIV findet das Schadenminderungsprinzip somit seine Grenzen am Zumutbarkeitsgedanken ( Art. 16 Abs. 2 AVIG ). Der Begriff der Unzumutbarkeit ist im Lichte von Art. 20 lit. c des Übereinkommens Nr. 168 der Internationalen Arbeitsorganisation vom 21. Juni 1988 über Beschäftigungsförderung und den Schutz gegen Arbeitslosigkeit (IAO-Übereinkommen; SR 0.822.726.8) auszulegen. Staatsvertraglich wird nur das freiwillige Aufgeben einer Stelle ("volontairement") ohne triftige Gründe ("sans motif légitime") sanktioniert. Vermag die versicherte Person für das Verlassen der Stelle legitime Gründe zu nennen, kann nicht von einer freiwilligen Preisgabe der Beschäftigung im Sinne des Übereinkommens gesprochen werden ( BGE 124 V 234 E. 4b/aa S. 238; Urteil 8C_958/2008 vom 30. April 2009 E. 2.2).</w:t>
      </w:r>
    </w:p>
    <w:p>
      <w:r>
        <w:rPr>
          <w:b/>
        </w:rPr>
        <w:t>E. 3.1</w:t>
      </w:r>
    </w:p>
    <w:p>
      <w:r>
        <w:t>Ein schlechtes Arbeitsklima und Meinungsverschiedenheiten mit Vorgesetzten oder Arbeitskollegen vermögen grundsätzlich keine Unzumutbarkeit der Fortführung des Arbeitsverhältnisses zu begründen (SVR 1997 ALV Nr. 105 S. 323, C 128/96).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 BGE 124 V 234 E. 4b/bb S. 238; Urteile des Eidg. Versicherungsgerichts C 161/06 vom 6. Dezember 2006 E. 3.2 und C 299/05 vom 9. Februar 2006 E. 2.2; je mit Hinweis; GERHARD GERHARDS, Kommentar zum Arbeitslosenversicherungsgesetz [AVIG], Bd. I [Art. 1-58], 1988, N. 14 zu Art. 30 AVIG ; JACQUELINE CHOPARD, Die Einstellung in der Anspruchsberechtigung, 1998, S. 123; vgl. auch Kreisschreiben des SECO über die Arbeitslosenentschädigung [KS ALE Januar 2007] Ziff. D26).</w:t>
      </w:r>
    </w:p>
    <w:p>
      <w:r>
        <w:rPr>
          <w:b/>
        </w:rPr>
        <w:t>E. 3.2</w:t>
      </w:r>
    </w:p>
    <w:p>
      <w:r>
        <w:t>Gemäss Arztzeugnis vom 4. Mai 2009 sowie den Berichten vom 5. Januar 2009 und 30. Juni 2009 des Hausarztes Dr. med. G.________ sei es der Beschwerdeführerin aus gesundheitlichen Gründen nicht mehr zuzumuten gewesen, die Arbeit bei der Stiftung A.________ wieder aufzunehmen. Vom 15. Oktober 2008 bis 30. April 2009 attestiert er ihr eine Arbeitsunfähigkeit von 100 %. Die Unzumutbarkeit zum Verbleib an der bisherigen Arbeitsstelle aus gesundheitlichen Gründen ist somit durch ärztliche Zeugnisse belegt. Gründe für ein dennoch ausnahmsweises Verbleiben an der Arbeitsstelle, trotz gegenteiliger ärztlicher Bescheinigung, liegen nicht vor. Das kantonale Gericht argumentierte, aufgrund des krankheitsbedingten Fernbleibens sei die Beschwerdeführerin nicht mehr mit der gesundheitlich unzumutbaren Situation am Arbeitsplatz konfrontiert gewesen, weshalb ihr die Fortführung des Arbeitsverhältnisses zumutbar gewesen wäre. Diese Konstellation bildet allerdings die Regel, wenn mittels ärztlichem Zeugnis eine Unzumutbarkeit der Weiterarbeit aus gesundheitlichen Gründen bescheinigt wird. Wird von der Rechtsprechung einerseits ein ärztliches Zeugnis für eine Unzumutbarkeit aus gesundheitlichen Gründen vorausgesetzt, kann andererseits nicht mit Verweis auf die Abwesenheit vom Arbeitsplatz, welche sich auf dieses ärztliche Zeugnis stützt, eine Zumutbarkeit zum Verbleiben am bisherigen Arbeitsplatz gefolgert werden. Die Beschwerdeführerin war zum Zeitpunkt der Beendigung des Arbeitsverhältnisses bereits während über sechs Monaten vollständig arbeitsunfähig. Anhaltspunkte, wonach die Arbeitgeberin sie über den 30. April 2009 hinaus von der Arbeit freigestellt hätte und, etwa aus sozialen Überlegungen, ohne die Pflicht je wieder Arbeitsleistungen zu erbringen ihre Lohnfortzahlungen fortgesetzt hätte, liegen nicht vor. Die Beschwerdeführerin gab ihre bisherige Arbeit somit nicht freiwillig auf und konnte sich für die Kündigung auf triftige Gründe stützen. Ihre bisherige Arbeit erweist sich nach dem Gesagten als unzumutbar im Sinne von Art. 16 Abs. 2 lit. c AVIG . Der Tatbestand des Art. 30 Abs. 1 lit. a AVIG ist nicht erfüllt, weshalb eine Einstellung in der Anspruchsberechtigung nicht in Betracht fällt. Demgemäss sind der vorinstanzliche Entscheid und der Einspracheentscheid der Beschwerdegegnerin aufzuheben.</w:t>
      </w:r>
    </w:p>
    <w:p>
      <w:r>
        <w:rPr>
          <w:b/>
        </w:rPr>
        <w:t>E. 4</w:t>
      </w:r>
    </w:p>
    <w:p>
      <w:r>
        <w:t>Dem Prozessausgang entsprechend hat die Beschwerdegegnerin die Gerichtskosten ( Art. 66 Abs. 1 BGG ) zu tragen und der Beschwerdeführerin eine angemessene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