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8C_129/2011 vom 27. April 2011</w:t>
      </w:r>
    </w:p>
    <w:p>
      <w:r>
        <w:t>Bundesgericht, 2011-04-27, DE</w:t>
      </w:r>
    </w:p>
    <w:p>
      <w:r>
        <w:rPr>
          <w:b/>
        </w:rPr>
        <w:t xml:space="preserve">Quelle: </w:t>
      </w:r>
      <w:r>
        <w:t>https://mcp.opencaselaw.ch/entscheid/bger_8C_129_2011</w:t>
      </w:r>
    </w:p>
    <w:p>
      <w:r>
        <w:t>FR: TF 8C_129/2011 du 27 avril 2011</w:t>
      </w:r>
    </w:p>
    <w:p>
      <w:r>
        <w:t>IT: TF 8C_129/2011 del 27 aprile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kantonale Gericht bestätigte in Würdigung der medizinischen Akten, insbesondere des interdisziplinären Gutachtens der Academy S.________ vom 1. Juli 2008 und der ergänzenden Stellungnahme der Gutachter vom 14. November 2008, die Leistungseinstellung der Helsana per 31. Dezember 2000. Gestützt auf dieses Gutachten kam das kantonale Gericht zum Schluss, die über den 31. Dezember 2000 hinaus geklagten Beschwerden seien nicht mit überwiegender Wahrscheinlichkeit auf den Unfall vom 16. Juli 2000 zurückzuführen. Damit fehle es am natürlichen Kausalzusammenhang.</w:t>
      </w:r>
    </w:p>
    <w:p>
      <w:r>
        <w:rPr>
          <w:b/>
        </w:rPr>
        <w:t>E. 2.2</w:t>
      </w:r>
    </w:p>
    <w:p>
      <w:r>
        <w:t>In der Beschwerde an das Bundesgericht wird nichts vorgebracht, was eine andere Beurteilung rechtfertigen könnte. Namentlich unbehelflich ist der Einwand, im Gutachten werde die Frage nach einer strukturellen Läsion offen gelassen. Die Vorinstanz legte ausführlich dar, dass im Gutachten keine objektiv ausgewiesenen Unfallfolgen mehr festgestellt werden konnten und es sich bei den festgestellten Einschränkungen der Inklination und der Rotation der Halswirbelsäule (HWS) und der radiologisch dokumentierten Streckhaltung in Übereinstimmung mit der Rechtsprechung nicht um solche Befunde handelt (vgl. statt vieler: SVR 2008 UV Nr. 2 S. 3, U 328/06 E. 5.2). Die Beschwerdeführerin macht geltend, es bestünden Unklarheiten im Gutachten. Solche stellte auch die Beschwerdegegnerin fest und unterbreitete den Gutachtern Ergänzungsfragen. In der ergänzenden Stellungnahme vom 14. November 2008 stellten die Gutachter die Widersprüche klar. Sie präzisierten etwa, dass nicht der Status quo ante, jedoch der Status quo sine wieder erreicht und die Unfallkausalität zum Zeitpunkt der Leistungseinstellung per 1. Januar 2001 nicht mehr als überwiegend wahrscheinlich einzustufen sei. Auf diese Umstände wies das kantonale Gericht zu Recht hin. Soweit eine weitergehende Heilbehandlung von der Beschwerdeführerin als unerlässlich bezeichnet wird, geht diese aufgrund der weggefallenen Unfallkausalität nicht mehr zulasten der Beschwerdegegnerin. Wenn die Beschwerdeführerin schliesslich vorbringt, sie sei vor dem Unfall gesund und voll arbeitsfähig gewesen und die Beschwerden seien aus diesem Grunde unfallbedingt, so läuft diese Argumentation auf den beweisrechtlich unzulässigen Schluss "post hoc, ergo propter hoc" hinaus (vgl. BGE 119 V 335 E. 2b/bb S. 341 f.; SVR 2010 UV Nr. 10 S. 40, 8C_626/2009 E. 3.2). Es kann auf die einlässliche Begründung der Vorinstanz verwiesen werden ( Art. 109 Abs. 3 BGG ). Die Beschwerde ist demgemäss abzuweisen.</w:t>
      </w:r>
    </w:p>
    <w:p>
      <w:r>
        <w:rPr>
          <w:b/>
        </w:rPr>
        <w:t>E. 3</w:t>
      </w:r>
    </w:p>
    <w:p>
      <w:r>
        <w:t>Die Beschwerde ist offensichtlich unbegründet, weshalb sie im Verfahren nach Art. 109 BGG , insbesondere ohne Durchführung eines Schriftenwechsels und mit summarischer Begründung, erledigt wird.</w:t>
      </w:r>
    </w:p>
    <w:p>
      <w:r>
        <w:rPr>
          <w:b/>
        </w:rPr>
        <w:t>E. 4</w:t>
      </w:r>
    </w:p>
    <w:p>
      <w:r>
        <w:t>Das Verfahren ist kostenpflichtig. Das Gesuch um unentgeltliche Rechtspflege wird infolge Aussichtslosigkeit abgewiesen ( Art. 64 Abs. 1 BGG ).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