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8C_128/2026 vom 20. März 2026</w:t>
      </w:r>
    </w:p>
    <w:p>
      <w:r>
        <w:t>Bundesgericht, 2026-03-20, DE</w:t>
      </w:r>
    </w:p>
    <w:p>
      <w:r>
        <w:rPr>
          <w:b/>
        </w:rPr>
        <w:t xml:space="preserve">Quelle: </w:t>
      </w:r>
      <w:r>
        <w:t>https://mcp.opencaselaw.ch/entscheid/bger_8C_128_2026</w:t>
      </w:r>
    </w:p>
    <w:p>
      <w:r>
        <w:t>FR: TF 8C_128/2026 du 20 mars 2026</w:t>
      </w:r>
    </w:p>
    <w:p>
      <w:r>
        <w:t>IT: TF 8C_128/2026 del 20 marzo 2026</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Dies bedingt bei angefochtenen Nichteintretensurteilen praxisgemäss eine spezifische Auseinandersetzung mit den Nichteintretensgründen ( BGE 123 V 335 ).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Obergericht des Kantons Graubünden trat mit Urteil vom 2. Februar 2026 auf die vom Beschwerdeführer am 16. Dezember 2025 persönlich überbrachte Eingabe vom 5. Dezember 2025, womit er um Revision des im Verfahren S 21 52 am 28. September 2021 ergangenen Urteils ersuchte, nicht ein.</w:t>
      </w:r>
    </w:p>
    <w:p>
      <w:r>
        <w:rPr>
          <w:b/>
        </w:rPr>
        <w:t>E. 3</w:t>
      </w:r>
    </w:p>
    <w:p>
      <w:r>
        <w:t>Inwiefern das vorinstanzliche Nichteintreten bundesrechtswidrig sein soll, wird nicht hinreichend klar gerügt. Allein verschiedene Verfassungsbestimmungen anzurufen, ohne diese in einem nachvollziehbaren Zusammenhang zu stellen, reicht nicht aus. Die Vorinstanz hat ausführlich dargelegt, weshalb der Beschwerdeführer aus dem im Verfahren S1 25 17 ergangenen und unangefochten in Rechtskraft erwachsenen Rückweisungsurteil vom 17. Dezember 2025 hinsichtlich der geltend gemachten Revision des Urteils vom 28. September 2021 nichts zu seinen Gunsten abzuleiten vermag. Der Beschwerdeführer legt auch nicht ansatzweise in einer der qualifizierten Rügepflicht genügenden Weise dar (vgl. BGE 148 I 104 E. 1.5 mit Hinweisen), inwiefern das kantonale Gericht die angerufenen Grundrechte verletzt habe. Er nimmt nicht auf die einschlägige Begründung des angefochtenen Nichteintretensurteils Bezug (vgl. Art. 42 Abs. 2 BGG ). Die Beschwerdebegründung genügt den gesetzlichen Anforderungen nicht.</w:t>
      </w:r>
    </w:p>
    <w:p>
      <w:r>
        <w:rPr>
          <w:b/>
        </w:rPr>
        <w:t>E. 4</w:t>
      </w:r>
    </w:p>
    <w:p>
      <w:r>
        <w:t>Der Begründungsmangel ist somit offensichtlich, weshalb im vereinfachten Verfahren nach Art. 108 Abs. 1 lit. b BGG auf das Rechtsmittel nicht einzutreten ist.</w:t>
      </w:r>
    </w:p>
    <w:p>
      <w:r>
        <w:rPr>
          <w:b/>
        </w:rPr>
        <w:t>E. 5</w:t>
      </w:r>
    </w:p>
    <w:p>
      <w:r>
        <w:t>In Anwendung von Art. 66 Abs. 1 Satz 2 BGG wird ausnahmsweise auf die Erhebung von Gerichtskosten verzichtet. Bei gleichbleibender Beschwerdeführung darf inskünftig indessen nicht mehr mit dieser Rechtswohltat gerechnet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