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8C_128/2014 vom 2. Dezember 2014</w:t>
      </w:r>
    </w:p>
    <w:p>
      <w:r>
        <w:t>Bundesgericht, 2014-12-02, FR</w:t>
      </w:r>
    </w:p>
    <w:p>
      <w:r>
        <w:rPr>
          <w:b/>
        </w:rPr>
        <w:t xml:space="preserve">Quelle: </w:t>
      </w:r>
      <w:r>
        <w:t>https://mcp.opencaselaw.ch/entscheid/bger_8C_128_2014</w:t>
      </w:r>
    </w:p>
    <w:p>
      <w:r>
        <w:t>FR: TF 8C_128/2014 du 2 décembre 2014</w:t>
      </w:r>
    </w:p>
    <w:p>
      <w:r>
        <w:t>IT: TF 8C_128/2014 del 2 dicembre 2014</w:t>
      </w:r>
    </w:p>
    <w:p>
      <w:pPr>
        <w:pStyle w:val="Heading2"/>
      </w:pPr>
      <w:r>
        <w:t>Erwägungen</w:t>
      </w:r>
    </w:p>
    <w:p>
      <w:r>
        <w:rPr>
          <w:b/>
        </w:rPr>
        <w:t>E. 1</w:t>
      </w:r>
    </w:p>
    <w:p>
      <w:r>
        <w:t>Le litige porte sur le droit du recourant à des prestations de l'assurance-accidents au-delà du 1er décembre 2011.</w:t>
      </w:r>
    </w:p>
    <w:p>
      <w:r>
        <w:t>Les prestations en jeu sont la prise en charge de l'intervention pratiquée le 20 décembre 2011 (prestation en nature) et le versement d'indemnités journalières pour l'incapacité de travail qui s'en est suivie (prestation en espèces), de sorte le Tribunal fédéral dispose d'un pouvoir d'examen étendu en ce qui concerne les faits communs aux deux types de prestations (cf. arrêt 8C_584/2009 du 2 juillet 2010 consid. 4).</w:t>
      </w:r>
    </w:p>
    <w:p>
      <w:r>
        <w:rPr>
          <w:b/>
        </w:rPr>
        <w:t>E. 2</w:t>
      </w:r>
    </w:p>
    <w:p>
      <w:r>
        <w:t>Le jugement entrepris cite correctement les dispositions légales et les principes jurisprudentiels applicables à la résolution du litige - singu-lièrement les notions de causalité naturelle et de statu quo ante vel sine - de sorte qu'il suffit d'y renvoyer.</w:t>
      </w:r>
    </w:p>
    <w:p>
      <w:r>
        <w:rPr>
          <w:b/>
        </w:rPr>
        <w:t>E. 3</w:t>
      </w:r>
    </w:p>
    <w:p>
      <w:r>
        <w:t>Le recourant invoque la violation du droit à un procès équitable garanti par l' art. 6 par. 1 CEDH dans la mesure où la juridiction cantonale a refusé d'ordonner une expertise judiciaire nonobstant la présence de deux appréciations médicales opposées dont elle a pleinement admis la valeur probante.</w:t>
      </w:r>
    </w:p>
    <w:p>
      <w:r>
        <w:rPr>
          <w:b/>
        </w:rPr>
        <w:t>E. 4.1</w:t>
      </w:r>
    </w:p>
    <w:p>
      <w:r>
        <w:t>L' art. 6 par. 1 CEDH ne contient pas de règles concernant les moyens de preuve admissibles en procédure judiciaire et sur la manière de les apprécier. Ainsi, le refus d'un tribunal de donner suite à une demande d'expertise judiciaire déposée par une des parties, ne contrevient pas à l' art. 6 par. 1 CEDH , lorsque le procès peut encore être qualifié d'équitable (cf. arrêt 8C_444/2013 du 20 janvier 2014 consid. 5.2).</w:t>
      </w:r>
    </w:p>
    <w:p>
      <w:r>
        <w:rPr>
          <w:b/>
        </w:rPr>
        <w:t>E. 4.2</w:t>
      </w:r>
    </w:p>
    <w:p>
      <w:r>
        <w:t>Selon l' art. 6 par. 1 CEDH , le principe de l'égalité des armes fait partie des droits à un procès équitable. Ce principe n'est pas uniquement destiné à sauvegarder l'égalité formelle des parties dans la procédure judiciaire mais doit en plus garantir une égalité des chances pour les parties de pouvoir faire valoir leurs moyens devant le tribunal. Toutefois, l' art. 6 par. 1 CEDH n'oblige pas les pays signataires de la Convention à prévoir une complète égalité des armes entre les parties. La Convention exige cependant qu'un assuré ne soit pas mis dans une situation procédurale dans laquelle il n'a aucune chance raisonnable de soumettre son affaire au tribunal sans être clairement défavorisé par rapport aux autres parties à la procédure. En regard de ces règles, il est en principe admissible qu'un tribunal se fonde sur les preuves obtenues de manière correcte par l'assureur et renonce ainsi à sa propre procédure probatoire.</w:t>
      </w:r>
    </w:p>
    <w:p>
      <w:r>
        <w:rPr>
          <w:b/>
        </w:rPr>
        <w:t>E. 4.3</w:t>
      </w:r>
    </w:p>
    <w:p>
      <w:r>
        <w:t>La jurisprudence ( ATF 125 V 351 consid. 3b/ee p. 353 s)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w:t>
      </w:r>
    </w:p>
    <w:p>
      <w:r>
        <w:rPr>
          <w:b/>
        </w:rPr>
        <w:t>E. 4.4</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w:t>
      </w:r>
    </w:p>
    <w:p>
      <w:r>
        <w:rPr>
          <w:b/>
        </w:rPr>
        <w:t>E. 4.5</w:t>
      </w:r>
    </w:p>
    <w:p>
      <w:r>
        <w:t>Il résulte de ce qui précède que les rapports des médecins employés de l'assurance sont à prendre en considération tant qu'il n'existe aucun doute, même minime, sur l'exactitude de leurs conclusions ( ATF 135 V 465 consid. 4.7 p. 471). L' ATF 137 V 210 n'a pas modifié cette manière de voir.</w:t>
      </w:r>
    </w:p>
    <w:p>
      <w:r>
        <w:rPr>
          <w:b/>
        </w:rPr>
        <w:t>E. 5</w:t>
      </w:r>
    </w:p>
    <w:p>
      <w:r>
        <w:t>En l'occurrence, les premiers juges ont écarté l'avis du docteur C.________ parce qu'il reposait davantage sur des suppositions que sur des éléments médicaux objectifs, alors que celui du docteur G.________ trouvait appui tant dans les comptes-rendus d'imagerie figurant au dossier (de 2005 et de 2011) que dans les premières constatations faites par le docteur C.________, selon lesquelles le genou droit de l'assuré ne présentait pas de signe d'entorse en date du 19 septembre 2011 (voir le rapport du médecin traitant du 12 octobre 2012). On peut observer que contrairement à ce que prétend le recourant, les juges cantonaux n'ont pas accordé à l'opinion du médecin traitant une valeur probante équivalente à celle du docteur G.________.</w:t>
      </w:r>
    </w:p>
    <w:p>
      <w:r>
        <w:t>Cela étant, leur appréciation des preuves n'est pas critiquable. En effet, les seuls arguments que le docteur C.________ met en avant pour justifier la prise en charge du cas par l'intimée est le fait que le LCA avait assuré la stabilité du genou droit de l'assuré jusqu'à l'événement du 2 août 2011 et que ce dernier était adéquat pour entraîner une rupture totale du LCA même si ce ligament avait été intact. On ne saurait toutefois retenir l'existence d'un lien de causalité du seul fait qu'avant l'événement du 2 août 2011, l'assuré pouvait mener à bien ses activités sans problèmes. Cela revient en effet à se fonder sur l'adage post hoc ergo propter hoc lequel ne permet pas, selon la jurisprudence d'établir l'existence d'un tel lien ( ATF 119 V 335 consid. 2b/bb p. 341 s.). Par ailleurs, la deuxième affirmation du médecin traitant est hypothétique et invérifiable, puisqu'il est constant que l'assuré ne présentait pas un LCA intact. Il s'ensuit que son avis n'est pas susceptible de fonder un doute quant à la fiabilité des conclusions du médecin-conseil.</w:t>
      </w:r>
    </w:p>
    <w:p>
      <w:r>
        <w:t>Dans ces conditions, la juridiction cantonale n'était pas tenue d'ordonner d'office une expertise pour sauvegarder l'égalité des armes entre les parties et pouvait donc renoncer à demander une expertise avant de statuer.</w:t>
      </w:r>
    </w:p>
    <w:p>
      <w:r>
        <w:t>Le recours doit être rejeté.</w:t>
      </w:r>
    </w:p>
    <w:p>
      <w:r>
        <w:rPr>
          <w:b/>
        </w:rPr>
        <w:t>E. 6</w:t>
      </w:r>
    </w:p>
    <w:p>
      <w:r>
        <w:t>Le recourant,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