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8C_128/2009 vom 13. März 2009</w:t>
      </w:r>
    </w:p>
    <w:p>
      <w:r>
        <w:t>Bundesgericht, 2009-03-13, DE</w:t>
      </w:r>
    </w:p>
    <w:p>
      <w:r>
        <w:rPr>
          <w:b/>
        </w:rPr>
        <w:t xml:space="preserve">Quelle: </w:t>
      </w:r>
      <w:r>
        <w:t>https://mcp.opencaselaw.ch/entscheid/bger_8C_128_2009</w:t>
      </w:r>
    </w:p>
    <w:p>
      <w:r>
        <w:t>FR: TF 8C_128/2009 du 13 mars 2009</w:t>
      </w:r>
    </w:p>
    <w:p>
      <w:r>
        <w:t>IT: TF 8C_128/2009 del 13 marzo 2009</w:t>
      </w:r>
    </w:p>
    <w:p>
      <w:pPr>
        <w:pStyle w:val="Heading2"/>
      </w:pPr>
      <w:r>
        <w:t>Volltext</w:t>
      </w:r>
    </w:p>
    <w:p>
      <w:r>
        <w:t>Bundesgericht</w:t>
      </w:r>
    </w:p>
    <w:p>
      <w:r>
        <w:t>Tribunal fédéral</w:t>
      </w:r>
    </w:p>
    <w:p>
      <w:r>
        <w:t>Tribunale federale</w:t>
      </w:r>
    </w:p>
    <w:p>
      <w:r>
        <w:t>Tribunal federal</w:t>
      </w:r>
    </w:p>
    <w:p>
      <w:r>
        <w:t>{T 0/2}</w:t>
      </w:r>
    </w:p>
    <w:p>
      <w:r>
        <w:t>8C_128/2009</w:t>
      </w:r>
    </w:p>
    <w:p>
      <w:r>
        <w:t>Urteil vom 13. März 2009</w:t>
      </w:r>
    </w:p>
    <w:p>
      <w:r>
        <w:t>I. sozialrechtliche Abteilung</w:t>
      </w:r>
    </w:p>
    <w:p>
      <w:r>
        <w:t>Besetzung</w:t>
      </w:r>
    </w:p>
    <w:p>
      <w:r>
        <w:t>Bundesrichter Ursprung, Präsident,</w:t>
      </w:r>
    </w:p>
    <w:p>
      <w:r>
        <w:t>Gerichtsschreiber Batz.</w:t>
      </w:r>
    </w:p>
    <w:p>
      <w:r>
        <w:t>Parteien</w:t>
      </w:r>
    </w:p>
    <w:p>
      <w:r>
        <w:t>W.________,</w:t>
      </w:r>
    </w:p>
    <w:p>
      <w:r>
        <w:t>Beschwerdeführer,</w:t>
      </w:r>
    </w:p>
    <w:p>
      <w:r>
        <w:t>gegen</w:t>
      </w:r>
    </w:p>
    <w:p>
      <w:r>
        <w:t>Politische Gemeinde Wagenhausen, Gemeinderat, Talacker 1, 8259 Kaltenbach,</w:t>
      </w:r>
    </w:p>
    <w:p>
      <w:r>
        <w:t>Beschwerdegegnerin.</w:t>
      </w:r>
    </w:p>
    <w:p>
      <w:r>
        <w:t>Gegenstand</w:t>
      </w:r>
    </w:p>
    <w:p>
      <w:r>
        <w:t>Kantonales Sozialrecht,</w:t>
      </w:r>
    </w:p>
    <w:p>
      <w:r>
        <w:t>Beschwerde gegen den Entscheid des Verwaltungsgerichts des Kantons Thurgau vom 17. Dezember 2008.</w:t>
      </w:r>
    </w:p>
    <w:p>
      <w:r>
        <w:t>Nach Einsicht</w:t>
      </w:r>
    </w:p>
    <w:p>
      <w:r>
        <w:t>in die Beschwerde des W.________ vom 4. Februar 2009 gegen den Entscheid des Verwaltungsgerichts des Kantons Thurgau vom 17. Dezember 2008 und das Gesuch um unentgeltliche Prozessführung,</w:t>
      </w:r>
    </w:p>
    <w:p>
      <w:r>
        <w:t>in die Mitteilung des Bundesgerichts an W.________ vom 6. Februar 2009, wonach seine Beschwerde die gesetzlichen Formerfordernisse nicht zu erfüllen scheine und eine Verbesserung nur innert der Beschwerdefrist möglich sei,</w:t>
      </w:r>
    </w:p>
    <w:p>
      <w:r>
        <w:t>in Erwägung,</w:t>
      </w:r>
    </w:p>
    <w:p>
      <w:r>
        <w:t>dass ein Rechtsmittel gemäss Art. 42 Abs. 1 und 2 BGG u.a. die Begehren und deren Begründung mit Angabe der Beweismittel zu enthalten hat, wobei im Rahmen der Begründung in gedrängter Form darzulegen ist, inwiefern der angefochtene Akt Recht verletzt; Art. 95 ff. BGG nennt dabei die vor Bundesgericht zulässigen Beschwerdegründe,</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wie etwa das Willkürverbot oder das Recht auf persönliche Freiheit, verstossen soll; hinsichtlich der Verletzung von Grundrechten gilt der in Art. 106 Abs. 1 BGG verankerte Grundsatz der Rechtsanwendung von Amtes wegen nicht, weshalb insofern eine qualifizierte Rügepflicht besteht ( Art. 106 Abs. 2 BGG ; BGE 133 II 249 E. 1.4.2 S. 254; vgl. auch BGE 133 IV 286 ff.): es obliegt daher der Beschwerde führenden Person (entsprechend den altrechtlichen Begründungsanforderungen des Art. 90 Abs. 1 lit. b OG : Botschaft vom 28. Februar 2001 zur Totalrevision der Bundesrechtspflege, BBl 2001, S. 4207 ff., Ziff. 4.1.2.4 zu Art. 39 Entwurf, S. 4294), klar und detailliert anhand der Erwägungen des angefochtenen Entscheids darzulegen, welche verfassungsmässigen Rechte und inwiefern sie durch den kantonalen Entscheid verletzt sind ( BGE 134 II 244 E. 2.2 S. 246 mit weiteren Hinweisen),</w:t>
      </w:r>
    </w:p>
    <w:p>
      <w:r>
        <w:t>dass sich im vorliegenden Fall der Beschwerdeführer in seiner Eingabe an das Bundesgericht insbesondere nicht rechtsgenüglich mit den entscheidenden Erwägungen der Vorinstanz auseinandersetzt, indem er jedenfalls nicht nach den erwähnten gesetzlichen Anforderungen anhand dieser Erwägungen aufzeigt, welche verfassungsmässigen Rechte und inwiefern diese durch das angefochtene Urteil des kantonalen Gerichts verletzt worden sein sollen,</w:t>
      </w:r>
    </w:p>
    <w:p>
      <w:r>
        <w:t>dass mithin keine hinreichende Begründung und daher kein gültiges Rechtsmittel vorliegt, zumal die Mitteilung des Bundesgerichts vom 6. Februar 2009, worin auf die gesetzlichen Formerfordernisse von Beschwerden hingewiesen und der Beschwerdeführer ausdrücklich auf die nur innert der Beschwerdefrist noch bestehende Möglichkeit einer Verbesserung des Mangels aufmerksam gemacht wurde, unbeantwortet geblieben ist,</w:t>
      </w:r>
    </w:p>
    <w:p>
      <w:r>
        <w:t>dass somit auf die offensichtlich unzulässige Beschwerde in Anwendung von Art. 108 Abs. 1 lit. b BGG nicht eingetreten wird,</w:t>
      </w:r>
    </w:p>
    <w:p>
      <w:r>
        <w:t>dass es sich bei den gegebenen Verhältnissen rechtfertigt, von der Erhebung von Gerichtskosten abzusehen ( Art. 66 Abs. 1 Satz 2 BGG ), weshalb sich das Gesuch um unentgeltliche Prozessführung als gegenstandslos erweist,</w:t>
      </w:r>
    </w:p>
    <w:p>
      <w:r>
        <w:t>dass in den Fällen des Art. 108 Abs. 1 BGG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Departement für Finanzen und Soziales des Kantons Thurgau schriftlich mitgeteilt.</w:t>
      </w:r>
    </w:p>
    <w:p>
      <w:r>
        <w:t>Luzern, 13. März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