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8C_127/2024 vom 22. März 2024</w:t>
      </w:r>
    </w:p>
    <w:p>
      <w:r>
        <w:t>Bundesgericht, 2024-03-22, DE</w:t>
      </w:r>
    </w:p>
    <w:p>
      <w:r>
        <w:rPr>
          <w:b/>
        </w:rPr>
        <w:t xml:space="preserve">Quelle: </w:t>
      </w:r>
      <w:r>
        <w:t>https://mcp.opencaselaw.ch/entscheid/bger_8C_127_2024</w:t>
      </w:r>
    </w:p>
    <w:p>
      <w:r>
        <w:t>FR: TF 8C_127/2024 du 22 mars 2024</w:t>
      </w:r>
    </w:p>
    <w:p>
      <w:r>
        <w:t>IT: TF 8C_127/2024 del 22 marzo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Mit Urteil vom 22. Dezember 2023 bestätigte das Sozialversicherungsgericht des Kantons Zürich den Einspracheentscheid der Beschwerdegegnerin vom 17. Juli 2023, wonach dem Beschwerdeführer für den Anspruchsmonat Dezember 2021 keine Arbeitslosentaggelder auszubezahlen seien. Dies geschah im Wesentlichen mit der Begründung, dem Anspruch auf Taggelder für die 13 kontrollierten Tage im Dezember 2021 stünden rechtskräftig festgelegte, noch nicht getilgte 20.4 Einstelltage gegenüber. Dabei legte das kantonale Gericht in Auseinandersetzung mit den Parteivorbringen dar, weshalb die vom Beschwerdeführer angerufene Vollstreckungsfrist nach Art. 30 Abs. 3 letzter Satz AVIG vorliegend nicht zum Tragen kommt. Auch skizzierte es näher, weshalb auf ausserhalb des durch den Einspracheentscheid vom 17. Juli 2023 vorgegebenen Streitgegenstand Liegendes nicht eingetreten werden musste.</w:t>
      </w:r>
    </w:p>
    <w:p>
      <w:r>
        <w:rPr>
          <w:b/>
        </w:rPr>
        <w:t>E. 3</w:t>
      </w:r>
    </w:p>
    <w:p>
      <w:r>
        <w:t>Was der Beschwerdeführer dagegen vorbringt, geht - soweit überhaupt sachbezogen - nicht über eine letztinstanzlich unzulässige appellatorische Kritik hinaus. Inwiefern das kantonale Gericht dabei mit offensichtlich unrichtigen oder unvollständigen Feststellungen zum Sachverhalt in Willkür verfallen sein (dazu Näheres: BGE 146 IV 88 E. 1.3.1 f.; 140 III 115 E. 2; je mit Hinweisen) oder einen anderen Beschwerdegrund ( Art. 95 ff. BGG ) gesetzt haben soll, legt der Beschwerdeführer nicht hinreichend dar. Insbesondere unterlässt er es, sich mit der entscheidenden Erwägung des kantonalen Gerichts näher auseinanderzusetzen, wonach die Vollstreckungsfrist nach Art. 30 Abs. 3 letzter Satz AVIG bereits durch das Zurückbehalten der Arbeitslosentagegelder gewahrt worden sei. Insbesondere zeigt er nicht nachvollziehbar auf, weshalb das von der Vorinstanz dazu Erwogene im Widerspruch zur Rechtsprechung stehen soll. Allein auf Willkür zu schliessen, weil das kantonale Gericht dem Rechtsverständnis des Beschwerdeführers nicht gefolgt ist, reicht nicht aus. Ebenso wenig genügt es zu behaupten, der Umfang der Vollstreckung sei erst mit der Abrechnung erkennbar geworden. Weshalb dies für die Fristwahrung nach Art. 30 Abs. 3 letzter Satz AVIG von Belang sein soll, wird denn auch nicht ausgeführt. Genauso wenig wird der letztinstanzlichen Begründungspflicht entsprochen, wenn der Beschwerdeführer lediglich das Nichteintreten auf ausserhalb der Abrechnungsverfügung Stehendes unter Verweis auf das Beschleunigungsgebot und Art. 53 Abs. 2 ATSG beanstandet. Denn bezogen auf Art. 53 Abs. 2 ATSG hat das kantonale Gericht dargetan, weshalb diese Bestimmung keinen Anspruch gegenüber einer Rechtsmittelinstanz zu begründen vermag. Allein das Gegenteil zu fordern unter Wiederholung der Vorbringen, reicht nicht aus. Inwieweit das Beschleunigungsgebot einen Anspruch auf die Ausdehnung des Streitgegenstands begründen könnte, darüber schweigt sich der Beschwerdeführer ebenfalls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