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8C_127/2023 vom 6. März 2023</w:t>
      </w:r>
    </w:p>
    <w:p>
      <w:r>
        <w:t>Bundesgericht, 2023-03-06, DE</w:t>
      </w:r>
    </w:p>
    <w:p>
      <w:r>
        <w:rPr>
          <w:b/>
        </w:rPr>
        <w:t xml:space="preserve">Quelle: </w:t>
      </w:r>
      <w:r>
        <w:t>https://mcp.opencaselaw.ch/entscheid/bger_8C_127_2023</w:t>
      </w:r>
    </w:p>
    <w:p>
      <w:r>
        <w:t>FR: TF 8C_127/2023 du 6 mars 2023</w:t>
      </w:r>
    </w:p>
    <w:p>
      <w:r>
        <w:t>IT: TF 8C_127/2023 del 6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7. Dezember 2022 näher dar, weshalb dem Beschwerdeführer für die von ihm geplante Komplettsanierung der Zähne von Seiten des Unfallversicherers höchstens ein Kostenbeitrag für die definitive Versorgung des Zahns 21 mittels Kunstharzprothese zustehe, wofür von Seiten der Beschwerdegegnerin bereits eine Maximalkostengutsprache vorliege. Aus diesem Grund wies das kantonale Gericht die gegen deren Einspracheentscheid vom 11. Mai 2021 erhobene Beschwerde ab. Darüber hinaus wertete es das Verhalten des Beschwerdeführers als offensichtlich mutwillig und auferlegte ihm deswegen Gerichtskosten in der Höhe von Fr. 1'000.-.</w:t>
      </w:r>
    </w:p>
    <w:p>
      <w:r>
        <w:rPr>
          <w:b/>
        </w:rPr>
        <w:t>E. 3</w:t>
      </w:r>
    </w:p>
    <w:p>
      <w:r>
        <w:t>Was der Beschwerdeführer dagegen vorbringt, geht - soweit überhaupt sachbezogen - nicht über eine letztinstanzlich unzulässige appellatorische Kritik hinaus. Allein zu behaupten, insgesamt vier Zähne unfallbedingt verloren zu haben, deren Wiederherstellungskosten sich auf insgesamt Euro 13'174.83 belaufen, und um persönliche Anhörung zu ersuchen, reicht klarerweise nicht aus. Genauso wenig ist mit pauschalen Vorhaltungen gegenüber Verwaltung und Gericht den minimalen Begründungsanforderungen Genüge getan.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