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8C_126/2018 vom 19. Oktober 2018</w:t>
      </w:r>
    </w:p>
    <w:p>
      <w:r>
        <w:t>Bundesgericht, 2018-10-19, DE</w:t>
      </w:r>
    </w:p>
    <w:p>
      <w:r>
        <w:rPr>
          <w:b/>
        </w:rPr>
        <w:t xml:space="preserve">Quelle: </w:t>
      </w:r>
      <w:r>
        <w:t>https://mcp.opencaselaw.ch/entscheid/bger_8C_126_2018</w:t>
      </w:r>
    </w:p>
    <w:p>
      <w:r>
        <w:t>FR: TF 8C_126/2018 du 19 octobre 2018</w:t>
      </w:r>
    </w:p>
    <w:p>
      <w:r>
        <w:t>IT: TF 8C_126/2018 del 19 ottobre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zu Recht in Bestätigung der Verfügung der IV-Stelle vom 19. September 2016 einen Anspruch auf eine befristete Invalidenrente verneint hat. Prozessthema bildet dabei die Frage, ob das kantonale Gericht die Arbeits- und Erwerbsfähigkeit (Art. 6 f. ATSG) im geltend gemachten Zeitraum in Bezug auf die psychischen Beschwerden bundesrechtskonform festgestellt hat (vgl. Art. 61 lit. c ATSG ).</w:t>
      </w:r>
    </w:p>
    <w:p>
      <w:r>
        <w:rPr>
          <w:b/>
        </w:rPr>
        <w:t>E. 3.1.1</w:t>
      </w:r>
    </w:p>
    <w:p>
      <w:r>
        <w:t>Die Vorinstanz hat erkannt, dass das polydisziplinäre Gutachten der MEDAS zwar den von der Rechtsprechung gestellten Anforderungen entspreche. Indessen könnten sich Konstellationen ergeben, bei welchen von der in der medizinischen Expertise beurteilten Arbeitsunfähigkeit abzuweichen sei, ohne dass diese gesamthaft ihren Beweiswert verlöre. Dr. med. C.________, Psychiatrie und Psychotherapie FMH, habe in dem von der Krankentaggeldversicherung eingeholten Gutachten vom 2. Juni 2014 einlässlich begründet, dass der aus Sicht des Exploranden ungerecht und hinterrücks eingefädelte Verlust seines Geschäfts (Kündigung Ende Mai 2013) zu einer Anpassungsstörung (ICD-10 F43.2) geführt habe, aus der sich unter der anhaltenden Belastung der rechtlichen Auseinandersetzungen und dem Verlust von sozialen Kontakten sowie von Vermögenswerten eine mittelgradige depressive Episode mit somatischem Syndrom (ICD-10 F32.11) entwickelt habe, als Ausdruck von anhaltender Resignation und Ohnmachtserleben. Eine posttraumatische Belastungsstörung (ICD-10 F.43.1) sowie eine andauernde Persönlichkeitsänderung nach Extrembelastung (ICD-10 F62.0) habe Dr. med. C.________ ausgeschlossen. Letztgenannter Auffassung habe der psychiatrische Sachverständige der MEDAS, Dr. med. D.________, FMH Psychiatrie und Psychotherapie, beigepflichtet. Allerdings habe er "aktuell" eine (nicht näher begründete und daher nicht unbedingt schlüssige) sonstige Reaktion auf schwere Belastung (ICD-10 F43.8) diagnostiziert. Die posttraumatische Belastungsstörung (ICD-10 F43.1) falle gemäss BGE 142 V 342 in den Anwendungsbereich von BGE 141 V 281 , was auch für die sonstige Reaktion auf schwere Belastung zu gelten habe.</w:t>
      </w:r>
    </w:p>
    <w:p>
      <w:r>
        <w:t>Auch nach der mit BGE 141 V 281 geänderten Praxis gälten anhaltende somatoforme Schmerzstörungen und damit vergleichbare psychosomatische Leiden nur als invalidisierend, wenn sie schwer und therapeutisch nicht mehr angehbar seien, was namentlich bei noch nicht lange chronifiziertem Krankheitsgeschehen voraussetze, dass keine therapeutische Option mehr und somit keine Behandlungsresistenz bestehe. Dasselbe gelte für leicht- bis mittelgradige depressive Störungen.</w:t>
      </w:r>
    </w:p>
    <w:p>
      <w:r>
        <w:t>Von einer Therapieresistenz könne vorliegend schon in Anbetracht der vollständigen Remission dieser beiden Erkrankungen per Ende 2015 nicht ausgegangen werden. Abgesehen davon habe sich der Versicherte zwar seit August 2013 einer ambulanten psychotherapeutischen Behandlung unterzogen. Psychopharmaka habe er gemäss seinen Angaben gegenüber dem psychiatrischen Sachverständigen der MEDAS nie eingenommen. In eine (teil) stationäre Behandlung habe er sich nie begeben. Der Versicherte habe demnach die Therapiemöglichkeiten zu keinem Zeitpunkt voll ausgeschöpft. Daher könne - entgegen der von der Gutachtern der MEDAS offenbar vertretenen Auffassung - nicht auf einen erheblichen Leidensdruck geschlossen werden. Zudem verfüge der Versicherte gemäss Angaben des Dr. med. D.________ über gute Ressourcen. Insgesamt sei ohne Weiteres davon auszugehen, dass dem Versicherten bei Aufbietung allen guten Willens und in Nachachtung des im Sozialversicherungsrecht allgemein geltenden Grundsatzes der Schadenminderungspflicht im relevanten Zeitraum (Mai 2014 bis Ende 2015) zuzumuten gewesen wäre, ganztags einer seinen somatischen Beschwerden angepassten Tätigkeit (wie der bisherigen) nachzugehen.</w:t>
      </w:r>
    </w:p>
    <w:p>
      <w:r>
        <w:rPr>
          <w:b/>
        </w:rPr>
        <w:t>E. 3.1.2</w:t>
      </w:r>
    </w:p>
    <w:p>
      <w:r>
        <w:t>Der Beschwerdeführer bringt im Wesentlichen vor, die Vorinstanz stütze sich auf eine nicht mehr aktuelle Rechtsprechung. Neu seien die Folgen von lege artis diagnostizierten psychischen Störungen mittels eines strukturieren Beweisverfahrens zu ermitteln</w:t>
      </w:r>
    </w:p>
    <w:p>
      <w:r>
        <w:rPr>
          <w:b/>
        </w:rPr>
        <w:t>E. 3.2.1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iv-rechlich relevante Einschränkung der Arbeitsfähigkeit resultiert. Den leichten bis mittelschweren depressiven Erkrankungen fehle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Satz 2 ATSG für eine objektivierende Betrachtungs- und Prüfungsweise Genüge getan ( BGE 141 V 281 E. 3.7.1 bis 3.7.3 S. 295 f.).</w:t>
      </w:r>
    </w:p>
    <w:p>
      <w:r>
        <w:rPr>
          <w:b/>
        </w:rPr>
        <w:t>E. 3.2.2</w:t>
      </w:r>
    </w:p>
    <w:p>
      <w:r>
        <w:t>Mit BGE 143 V 418 (Urteil 8C_130/2017 vom 30. November 2017) sowie BGE 143 V 409 (Urteil 8C_841/2016 vom 30. November 2017)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409 ).</w:t>
      </w:r>
    </w:p>
    <w:p>
      <w:r>
        <w:rPr>
          <w:b/>
        </w:rPr>
        <w:t>E. 3.2.3</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4.1</w:t>
      </w:r>
    </w:p>
    <w:p>
      <w:r>
        <w:t>Gemäss Gutachten der MEDAS vom 11. September 2015 ist wegen der psychischen Befunde (sonstige Reaktion auf schwere Belastung [ICD-10 F43.8]; leichte depressive Episode [ICD-10 F33.0]; Zwangsgedanken) bis Ende 2015 eine Arbeitsunfähigkeit von 50 % in jeglicher Erwerbstätigkeit zu bejahen. Daher ist im Lichte der Indikatoren zu prüfen, ob die von den medizinischen Sachverständigen bescheinigte Arbeitsunfähigkeit auch rechtlich relevant ist.</w:t>
      </w:r>
    </w:p>
    <w:p>
      <w:r>
        <w:rPr>
          <w:b/>
        </w:rPr>
        <w:t>E. 4.2</w:t>
      </w:r>
    </w:p>
    <w:p>
      <w:r>
        <w:t>Der Beschwerdeführer macht geltend, aufgrund des schlüssigen und beweiskräftigen Gutachtens der MEDAS sowie des Verlaufs der psychischen Erkrankung sei evident, dass eine schwerwiegende Störung vorliege, mithin der funktionelle Schweregrad bis Ende 2015 gegeben gewesen sei. Die Angaben des Versicherten seien konsistent gewesen, Anhaltspunkte für eine Aggravation oder gar Simulation hätten nicht vorgelegen.</w:t>
      </w:r>
    </w:p>
    <w:p>
      <w:r>
        <w:rPr>
          <w:b/>
        </w:rPr>
        <w:t>E. 4.3</w:t>
      </w:r>
    </w:p>
    <w:p>
      <w:r>
        <w:t>Aus den in E. 3.1.1 hievor zitierten Erwägungen der Vorinstanz ergibt sich, dass sie eine Arbeitsunfähigkeit verneint hat, weil die psychische Erkrankung behandelbar gewesen sei. Wohl handelt es sich bei Verlauf und Ausgang von Therapien um wichtige Schweregradindikatoren ( BGE 141 V 281 E. 4.3.1.2 S. 299), die bei deren Prüfung entscheidend in Anschlag gebracht werden dürfen ( BGE 143 V 409 E. 4.5.2 S 416). Dies entbindet die rechtsanwendende Behörde indessen nicht von der Pflicht, sämtliche Standardindikatoren gemäss BGE 141 V 281 E. 4.1.3 S. 297 f. zu prüfen und gestützt darauf gesamthaft zu beurteilen, ob auch aus rechtlicher Sicht eine Arbeits (un) fähigkeit anzunehmen ist (vgl. BGE 143 V 418 E. 6 S. 427). Mithin hat sie im Rahmen der Beweiswürdigung zu prüfen, ob die funktionellen Auswirkungen medizinisch anhand der Indikatoren schlüssig und widerspruchsfrei festgestellt worden sind und somit den normativen Vorgaben Rechnung getragen worden ist ( BGE 141 V 281 E. 6 S. 307 f.; Urteil 8C_260/2017 vom 1. Dezember 2017 E. 4.2.4, publ. in BGE 144 V 50 E. 4.3 S. 54). Diese Frage hat das kantonale Gericht nicht geprüft, da der angefochtene Entscheid vor den beiden Grundsatzurteilen BGE 143 V 409 und 143 V 418 ergangen ist, weshalb die Sache zwecks Vornahme der Indikatorenprüfung an es zurückzuweisen ist. Dabei wird es auch zu prüfen haben, ob das Gutachten der MEDAS vom 11. September 2015 eine schlüssige Beurteilung im Lichte der massgebenden Indizien erlaubt.</w:t>
      </w:r>
    </w:p>
    <w:p>
      <w:r>
        <w:rPr>
          <w:b/>
        </w:rPr>
        <w:t>E. 5</w:t>
      </w:r>
    </w:p>
    <w:p>
      <w:r>
        <w:t>Da nach der Rechtsprechung eine Rückweisung an die Vorinstanz unter Aufhebung des kantonalen Entscheids als Obsiegen gilt, werden der IV-Stelle als unterliegender Partei die Gerichtskosten auferlegt ( Art. 66 Abs. 1 Satz 1 BGG ). 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