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8C_126/2009 vom 10. Juni 2009</w:t>
      </w:r>
    </w:p>
    <w:p>
      <w:r>
        <w:t>Bundesgericht, 2009-06-10, DE</w:t>
      </w:r>
    </w:p>
    <w:p>
      <w:r>
        <w:rPr>
          <w:b/>
        </w:rPr>
        <w:t xml:space="preserve">Quelle: </w:t>
      </w:r>
      <w:r>
        <w:t>https://mcp.opencaselaw.ch/entscheid/bger_8C_126_2009</w:t>
      </w:r>
    </w:p>
    <w:p>
      <w:r>
        <w:t>FR: TF 8C_126/2009 du 10 juin 2009</w:t>
      </w:r>
    </w:p>
    <w:p>
      <w:r>
        <w:t>IT: TF 8C_126/2009 del 10 giugno 2009</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Prozessthema bildet die Frage, ob der Beschwerdeführer am 15. Juni 2005 einen Unfall im Sinne von Art. 4 ATSG oder eine unfallähnliche Körperschädigung nach Art. 9 Abs. 2 UVV erlitten hat. Unbestritten ist, dass die ärztlich diagnostizierte Fraktur des Tuberculum maius und Ruptur der Supraspinatussehne an der rechten Schulter unfallähnliche Körperschädigungen darstellen (vgl. Art. 9 Abs. 2 lit. a und f UVV ).</w:t>
      </w:r>
    </w:p>
    <w:p>
      <w:r>
        <w:rPr>
          <w:b/>
        </w:rPr>
        <w:t>E. 3.1</w:t>
      </w:r>
    </w:p>
    <w:p>
      <w:r>
        <w:t>Die Vorinstanz erwog, der Versicherte habe im Verlaufe des Verwaltungsverfahrens glaubhaft dargelegt, dass er am 15. Juni 2005 bei der Reparatur eines Tramwagens mit einem fünf Kilogramm schweren Vorschlaghammer auf eine zu demontierende Haltestange einschlug, um diese zu lösen. Im Umstand, dass die Haltestange dem kräftigen Schlag unerwartet widerstand und der Vorschlaghammer, statt "in Schlagrichtung weiterzuschwingen", zurückschnellte, liege ein unbeabsichtigter "programmwidriger" Bewegungsablauf, welcher das bei der alltäglichen Berufsarbeit zu Erwartende überschritt und daher als ungewöhnlich zu qualifizieren sei. Auch wenn der fragliche Vorgang als zur alltäglichen Berufsarbeit gehörend und damit nicht als ungewöhnlich zu qualifizieren sei, liege jedenfalls ein unfallähnliches Geschehen vor.</w:t>
      </w:r>
    </w:p>
    <w:p>
      <w:r>
        <w:rPr>
          <w:b/>
        </w:rPr>
        <w:t>E. 3.2</w:t>
      </w:r>
    </w:p>
    <w:p>
      <w:r>
        <w:t>Die SUVA bestreitet die Richtigkeit der vorinstanzlichen Sachverhaltswürdigung. Sie macht geltend, der Versicherte habe erstmals acht Wochen nach dem 15. Juni 2005 (am 10. August 2005) einen Arzt aufgesucht, wobei er sich an keinen Unfall zu erinnern vermochte, sondern angab, seit circa sechs Wochen an Beschwerden im rechten Schultergelenk, notabene zwei Wochen nach dem später geltend gemachten Vorfall, zu leiden. Erstmals in der Unfallmeldung (vom 7. September 2005) und in den von der SUVA bestellten Auskünften (vom 21. September 2005) habe er erwähnt, seit dem 15. Juni 2005 nach einem Schlag mit einem Vorschlaghammer auf eine Haltestange Schmerzen verspürt zu haben, wobei er trotz entsprechender Fragestellung kein besonderes Vorkommnis erwähnte. Der dem angefochtenen Entscheid zugrunde liegende Sachverhalt (deutlicher Rückschlag in die rechte Schulter) sei erstmals im Bericht der Klinik Z.________ (vom 20. Juli 2006) erwähnt und in der Einsprache dahingehend ergänzt worden, der Rückschlag habe zu einer unerwarteten Aussenrotation im rechten Schultergelenk geführt. Insgesamt habe der Beschwerdegegner seine Sachverhaltsdarstellung im Laufe des Verwaltungsverfahrens widersprüchlich gewechselt, weshalb seinen dem Vorfall am nächsten stehenden Angaben grösseres Gewicht beizumessen sei als den nachträglich bewusst oder unbewusst von Überlegungen versicherungsrechtlicher Art geltend gemachten Schilderungen.</w:t>
      </w:r>
    </w:p>
    <w:p>
      <w:r>
        <w:rPr>
          <w:b/>
        </w:rPr>
        <w:t>E. 4.1.1</w:t>
      </w:r>
    </w:p>
    <w:p>
      <w:r>
        <w:t>Nach der Rechtsprechung hat die versicherte Person die Umstände des als Unfall gemeldeten Ereignisses glaubhaft zu machen. Unvollständige, ungenaue oder widersprüchliche Angaben zum Geschehensablauf können die Verneinung der Leistungspflicht der Unfallversicherung zur Folge haben. Im Streitfall hat das Sozialversicherungsgericht zu entscheiden, ob die einzelnen Merkmale des Unfallbegriffs, insbesondere die Ungewöhnlichkeit des äusseren Faktors, gegeben sind. Hiezu hat es im Rahmen des Untersuchungsgrundsatzes die notwendigen Beweise zu erheben. Spricht der rechtserhebliche Sachverhalt nicht wenigstens mit Wahrscheinlichkeit für das Vorliegen der einzelnen Begriffsmerkmale - die blosse Möglichkeit genügt nicht -, ist ein Unfall im Rechtssinne zu verneinen ( BGE 116 V 136 E. 4b S. 140, 103 V 175 E. 2a S. 176; RKUV 2003 Nr. U 485 S. 259, U 307+308/01 E. 5). Bei sich widersprechenden Angaben des Versicherten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der Versicherte seine Darstellung im Laufe der Zeit wechselt, kommt den Angaben, die er kurz nach dem Unfall gemacht hat, meistens grösseres Gewicht zu als jenen nach Kenntnis einer Ablehnungsverfügung des Versicherers ( BGE 121 V 45 E. 2a S. 47 mit Hinweisen). Der Grundsatz, wonach die ersten Aussagen nach einem schädigenden Ereignis in der Regel unbefangener und zuverlässiger sind als spätere Darstellungen, stellt eine im Rahmen freier Beweiswürdigung zu berücksichtigende Entscheidungshilfe dar. Sie kann nur zur Anwendung gelangen, wenn von zusätzlichen Abklärungen keine neuen Erkenntnisse zu erwarten sind (RKUV 2004 Nr. U 524 S. 546 f., U 236/03 E. 3.3.4).</w:t>
      </w:r>
    </w:p>
    <w:p>
      <w:r>
        <w:rPr>
          <w:b/>
        </w:rPr>
        <w:t>E. 4.1.2</w:t>
      </w:r>
    </w:p>
    <w:p>
      <w:r>
        <w:t>Gemäss BGE 134 V 72 E. 4.3.2.2 S. 81 (mit Hinweisen) kann unter Umständen aufgrund des medizinischen Befunds erstellt sein, dass eine Schädigung auf eine ungewöhnliche äussere Einwirkung und somit auf ein Unfallereignis zurückzuführen ist. Der mangelnde Nachweis eines Unfalls lässt sich zwar nur selten durch medizinische Feststellungen ersetzen. Diese dienen mitunter aber als Indizien im Beweis für oder gegen das Vorliegen eines Unfalls. Im Bereich der obligatorischen Unfallversicherung sind die in Art. 9 Abs. 2 UVV abschliessend aufgezählten Schädigungen - im Wesentlichen des Bewegungsapparats, etwa von Knochen, Muskeln, Sehnen und Bändern - denn auch selbst ohne ungewöhnliche äussere Einwirkung Unfällen gleichgestellt, wenn sie nicht eindeutig auf eine Erkrankung oder eine Degeneration zurückzuführen sind.</w:t>
      </w:r>
    </w:p>
    <w:p>
      <w:r>
        <w:rPr>
          <w:b/>
        </w:rPr>
        <w:t>E. 4.1.3</w:t>
      </w:r>
    </w:p>
    <w:p>
      <w:r>
        <w:t>Laut BGE 129 V 466 E. 2.2 S. 467 und E. 4.2 S. 469 f. ist tatbestandsmässig ein ausserhalb des Körpers liegender, objektiv feststellbarer, sinnfälliger, eben unfallähnlicher Vorfall mit hinreichender Wahrscheinlichkeit gegeben, wenn dem äusseren Faktor ein gesteigertes Schädigungspotential zukommt, das u.a. zur Unkontrollierbarkeit der Vornahme der alltäglichen Lebensverrichtung führt. Das Auftreten von Schmerzen als solches ist kein äusserer (schädigender) Faktor im Sinne der Rechtsprechung. Mit anderen Worten kann von einem erforderlichen äusseren schädigenden Faktor dort nicht gesprochen werden, wo die versicherte Person nur das (erstmalige) Auftreten von Schmerzen in zeitlicher Hinsicht anzugeben vermag.</w:t>
      </w:r>
    </w:p>
    <w:p>
      <w:r>
        <w:rPr>
          <w:b/>
        </w:rPr>
        <w:t>E. 4.2</w:t>
      </w:r>
    </w:p>
    <w:p>
      <w:r>
        <w:t>Der von der SUVA dargestellte Sachverhalt ist unbestritten und lässt sich anhand der Akten ohne weiteres verifizieren. Hinsichtlich ihres Vorbringens, es sei auf die "Aussagen der ersten Stunde" abzustellen, ist zunächst festzuhalten, dass der Versicherte erstmals in der Schadenmeldung vom 7. September 2005 einen Vorfall vom 15. Juni 2005 schilderte, weshalb der angerufenen Beweisregel hier nur untergeordnete Bedeutung zukommen kann. Richtig ist allerdings, dass die Angaben in der Einsprache von Überlegungen versicherungsrechtlicher Art beeinflusst sein konnten. Entgegen der Auffassung der SUVA sind die Schilderungen des Versicherten aber nicht widersprüchlich. Er präzisierte vielmehr zunächst auf Aufforderung der SUVA hin den Sachverhalt im Schreiben vom 21. September 2005 sowie nach Eröffnung der Ablehnungsverfügung vom 12. April 2007 in der Einsprache. Angesichts dieser Umstände besteht für das Bundesgericht kein Anlass, die vorinstanzliche Schlussfolgerung, die Angaben des Versicherten seien konsistent und insgesamt glaubhaft, zu korrigieren. Ausschlaggebend ist hier letztlich, dass die Befunde an der rechten Schulter gemäss ärztlichen Auskünften traumatisch bedingt sind, mithin die Gesundheitsschädigung typische Folge einer äusseren Einwirkung sein muss. Für die Beurteilung der Frage, ob der Beschwerdeführer am 15. Juni 2005 einen Unfall oder eine unfallähnliche Körperschädigung erlitt, ist daher mit der Vorinstanz auf die Sachverhaltsdarstellung in der Einsprache abzustellen.</w:t>
      </w:r>
    </w:p>
    <w:p>
      <w:r>
        <w:rPr>
          <w:b/>
        </w:rPr>
        <w:t>E. 4.3</w:t>
      </w:r>
    </w:p>
    <w:p>
      <w:r>
        <w:t>Der Umstand, dass der Vorschlaghammer nach dem Schlag auf die festsitzende Haltestange zurückschnellte, mag nicht ungewöhnlich sein. Damit ist aber zumindest eine äussere Einwirkung auf den Körper des Beschwerdeführers erstellt, was für die Begründung der Leistungspflicht der SUVA gestützt auf Art. 6 Abs. 2 UVG in Verbindung mit Art. 9 Abs. 2 UVV (unfallähnliche Körperschädigungen) genügt.</w:t>
      </w:r>
    </w:p>
    <w:p>
      <w:r>
        <w:rPr>
          <w:b/>
        </w:rPr>
        <w:t>E. 5.1</w:t>
      </w:r>
    </w:p>
    <w:p>
      <w:r>
        <w:t>Die SUVA hat als unterliegende Partei die Gerichtskosten zu tragen ( Art. 66 Abs. 1 BGG ; vgl. BGE 133 V 642 ).</w:t>
      </w:r>
    </w:p>
    <w:p>
      <w:r>
        <w:rPr>
          <w:b/>
        </w:rPr>
        <w:t>E. 5.2</w:t>
      </w:r>
    </w:p>
    <w:p>
      <w:r>
        <w:t>Der obsiegende Beschwerdegegner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