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8C_124/2026 vom 26. März 2026</w:t>
      </w:r>
    </w:p>
    <w:p>
      <w:r>
        <w:t>Bundesgericht, 2026-03-26, DE</w:t>
      </w:r>
    </w:p>
    <w:p>
      <w:r>
        <w:rPr>
          <w:b/>
        </w:rPr>
        <w:t xml:space="preserve">Quelle: </w:t>
      </w:r>
      <w:r>
        <w:t>https://mcp.opencaselaw.ch/entscheid/bger_8C_124_2026</w:t>
      </w:r>
    </w:p>
    <w:p>
      <w:r>
        <w:t>FR: TF 8C_124/2026 du 26 mars 2026</w:t>
      </w:r>
    </w:p>
    <w:p>
      <w:r>
        <w:t>IT: TF 8C_124/2026 del 26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legte im angefochtenen Urteil vom 4. Februar 2026 in Auseinandersetzung mit den Parteivorbringen und in Würdigung der Akten dar, aus welchen Gründen der Beschwerdeführer keinen Anspruch auf Arbeitslosentaggelder hat. Danach scheitere der Anspruch an der hierfür gemäss Art. 13 Abs. 1 AVIG geforderten Mindestbeitragszeit von zwölf Monaten während der gemäss Art. 9 AVIG massgeblichen Beitragszeit vom 11. September 2023 bis 10. September 2025. Ebenso wenig sei eine Befreiung von der Beitragszeit während mindestens zwölf Monaten gemäss Art. 14 AVIG erstellt. Da rechtsprechungsgemäss ( BGE 141 V 674 E. 4.1) eine Kumulation von Beitragszeit und der dazu subsidiären Befreiungszeit nicht zulässig sei, erweise sich die Leistungsverweisung als rechtens.</w:t>
      </w:r>
    </w:p>
    <w:p>
      <w:r>
        <w:rPr>
          <w:b/>
        </w:rPr>
        <w:t>E. 3</w:t>
      </w:r>
    </w:p>
    <w:p>
      <w:r>
        <w:t>Inwiefern das kantonale Gericht damit gegen Bundesrecht verstossen oder einen anderen Beschwerdegrund (vgl. Art. 95 lit. a-e BGG ) gesetzt haben soll, legt der Beschwerdeführer nicht dar. Lediglich auf die schwierigen Lebensumstände zu verweisen und darüber hinaus das bereits vor Vorinstanz Vorgetragene zu wiederholen, ohne auf das dazu Erwogene näher einzugehen, reicht nicht aus. Dies gilt in besonderem Masse für die Vorbringen hinsichtlich der von ärztlicher Seite attestierten Arbeitsunfähigkeit von 50 %.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Indessen darf der Beschwerdeführer bei gleichbleibender künftiger Prozessführung auch in Sozialversicherungs- oder Sozialhilfestreitigkeiten nicht mehr mit dieser Rechtswohltat rechnen (bereits so in einer Steuerrechtsstreitigkeit: Urteil 9C_20/2025 vom 19.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