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8C_123/2025 vom 27. Februar 2025</w:t>
      </w:r>
    </w:p>
    <w:p>
      <w:r>
        <w:t>Bundesgericht, 2025-02-27, DE</w:t>
      </w:r>
    </w:p>
    <w:p>
      <w:r>
        <w:rPr>
          <w:b/>
        </w:rPr>
        <w:t xml:space="preserve">Quelle: </w:t>
      </w:r>
      <w:r>
        <w:t>https://mcp.opencaselaw.ch/entscheid/bger_8C_123_2025</w:t>
      </w:r>
    </w:p>
    <w:p>
      <w:r>
        <w:t>FR: TF 8C_123/2025 du 27 février 2025</w:t>
      </w:r>
    </w:p>
    <w:p>
      <w:r>
        <w:t>IT: TF 8C_123/2025 del 27 febbraio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Das kantonale Gericht legte im gemäss postamtlicher Bescheinigung am 7. Januar 2025 zugestellten Urteil vom 27. Dezember 2024 dar, weshalb es auf das gegen das Urteil des Verwaltungsgerichts vom 5. Juli 2024 gerichtete Revisionsgesuch nicht eintrat (kein Revisionsgrund nach Art. 95 lit. a oder lit. b VRPG/BE angerufen).</w:t>
      </w:r>
    </w:p>
    <w:p>
      <w:r>
        <w:rPr>
          <w:b/>
        </w:rPr>
        <w:t>E. 4</w:t>
      </w:r>
    </w:p>
    <w:p>
      <w:r>
        <w:t>Die bundesgerichtliche Rechtsmittelfrist ist gemäss Art. 44 - 48 und Art. 100 Abs. 1 BGG am 6. Februar 2024 abgelaufen. Innert dieser Frist hat der Beschwerdeführer nicht aufgezeigt, inwiefern die von der Vorinstanz in diesem Zusammenhang getroffenen Sachverhaltsfeststellungen offensichtlich unrichtig (vgl. Art. 97 Abs. 1 BGG ; Urteil 8C_220/2024 vom 4. Oktober 2024 E. 2.1 mit Hinweisen) - mithin willkürlich ( BGE 146 IV 88 E. 1.3.1 f.; 140 III 115 E. 2; je mit Hinweisen) - oder sonstwie bundesrechtswidrig sein sollen. Ebenso wenig tut er dar, weshalb das darauf beruhende Nichteintreten gegen Bundesrecht verstossen oder einen anderen Beschwerdegrund (vgl. Art. 95 lit. a-e BGG ) gesetzt haben könnte. Allein zu erklären, mit dem Revisionsgesuch sämtliche zugänglichen Beweismittel eingereicht zu haben, reicht nicht aus. Damit ist weder ein Revisionsgrund im Sinne von Art. 95 lit. a und b VRPV/BE hinreichend klar angerufen, noch dargetan, dass das auf kantonalem Recht beruhende Nichteintreten willkürlich erfolgt sei soll.</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nochmals (bereits so: Urteil 8C_540/2024 vom 2. Oktober 2024) auf die Erhebung von Gerichtskosten verzichtet. Indessen darf der Beschwerdeführer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