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8C_123/2013 vom 5. September 2013</w:t>
      </w:r>
    </w:p>
    <w:p>
      <w:r>
        <w:t>Bundesgericht, 2013-09-05, DE</w:t>
      </w:r>
    </w:p>
    <w:p>
      <w:r>
        <w:rPr>
          <w:b/>
        </w:rPr>
        <w:t xml:space="preserve">Quelle: </w:t>
      </w:r>
      <w:r>
        <w:t>https://mcp.opencaselaw.ch/entscheid/bger_8C_123_2013</w:t>
      </w:r>
    </w:p>
    <w:p>
      <w:r>
        <w:t>FR: TF 8C_123/2013 du 5 septembre 2013</w:t>
      </w:r>
    </w:p>
    <w:p>
      <w:r>
        <w:t>IT: TF 8C_123/2013 del 5 settembre 2013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und zu prüfen ist, ob dem Beschwerdeführer eine höhere als die zugesprochene Invalidenrente der Unfallversicherung zusteht.</w:t>
      </w:r>
    </w:p>
    <w:p>
      <w:r>
        <w:rPr>
          <w:b/>
        </w:rPr>
        <w:t>E. 3.1</w:t>
      </w:r>
    </w:p>
    <w:p>
      <w:r>
        <w:t>Ist der Versicherte infolge des Unfalles zu mindestens 10 % invalid, so hat er nach Art. 19 Abs. 1 UVG Anspruch auf eine Invalidenrente. Für die Bestimmung des Invaliditätsgrades wird gemäss Art. 16 ATSG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w:t>
      </w:r>
    </w:p>
    <w:p>
      <w:r>
        <w:rPr>
          <w:b/>
        </w:rPr>
        <w:t>E. 3.2</w:t>
      </w:r>
    </w:p>
    <w:p>
      <w:r>
        <w:t>Zur Ermittlung des Valideneinkommens ist entscheidend, was die versicherte Person im Zeitpunkt des frühest 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 BGE 129 V 222 E. 4.3.1 S. 224 mit Hinweisen).</w:t>
      </w:r>
    </w:p>
    <w:p>
      <w:r>
        <w:rPr>
          <w:b/>
        </w:rPr>
        <w:t>E. 3.3</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DAP-Zahlen herangezogen werden ( BGE 129 V 472 E. 4.2.1 S. 475 mit Hinweisen).</w:t>
      </w:r>
    </w:p>
    <w:p>
      <w:r>
        <w:rPr>
          <w:b/>
        </w:rPr>
        <w:t>E. 3.4</w:t>
      </w:r>
    </w:p>
    <w:p>
      <w:r>
        <w:t>Die Renten werden gemäss Art. 15 Abs. 1 UVG nach dem versicherten Verdienst bemessen. In Anwendung von Art. 15 Abs. 2 UVG gilt für die Bemessung der Rente grundsätzlich der innerhalb eines Jahres vor dem Unfall bezogene Lohn als versicherter Verdienst. Gemäss Art. 15 Abs. 3 UVG erlässt der Bundesrat Bestimmungen über den versicherten Verdienst in Sonderfällen. Hat der Versicherte im Jahre vor dem Unfall wegen Militärdienst, Zivildienst, Zivilschutzdienst, Unfall, Krankheit, Mutterschaft, Arbeitslosigkeit oder Kurzarbeit einen verminderten Lohn bezogen, so wird nach Art. 24 Abs. 1 UVV der versicherte Verdienst nach dem Lohn festgesetzt, den der Versicherte ohne Militärdienst, Zivildienst, Zivilschutzdienst, Unfall, Krankheit, Mutterschaft, Arbeitslosigkeit oder Kurzarbeit erzielt hätte.</w:t>
      </w:r>
    </w:p>
    <w:p>
      <w:r>
        <w:rPr>
          <w:b/>
        </w:rPr>
        <w:t>E. 4.1</w:t>
      </w:r>
    </w:p>
    <w:p>
      <w:r>
        <w:t>Vorinstanz und Verwaltung gingen für das Jahr 2011 von einem Valideneinkommen Fr. 67'145.- aus. Der Beschwerdeführer macht seinerseits unter Hinweis auf die Auszüge aus dem Individuellen Konto der AHV geltend, er hätte ohne den Unfall im Jahre 2011 mindestens ein Einkommen von Fr. 70'379.50 erzielt. Dabei stützt er sich auf den bei der C.________ AG erzielten Lohn. Der Versicherte hat allerdings seine Stelle bei diesem Unternehmen bereits im Jahre 2007 verloren. Wenn Vorinstanz und Verwaltung bei einer solchen Ausgangslage trotzdem annehmen, er hätte ohne den Unfall im Jahre 2011 den Lohn erzielt, den er bei einem Verbleib bei seiner bisherigen Arbeitgeberin verdient hätte, ist dies nicht zu beanstanden.</w:t>
      </w:r>
    </w:p>
    <w:p>
      <w:r>
        <w:rPr>
          <w:b/>
        </w:rPr>
        <w:t>E. 4.2.1</w:t>
      </w:r>
    </w:p>
    <w:p>
      <w:r>
        <w:t>Es ist letztinstanzlich nicht länger streitig, dass der Beschwerdeführer trotz seines Unfalles in der Lage wäre, eine leichte bis mittelschwere Tätigkeit, ohne häufiges Knien und ohne häufiges Treppen- oder Leitersteigen, ganztags auszuüben.</w:t>
      </w:r>
    </w:p>
    <w:p>
      <w:r>
        <w:rPr>
          <w:b/>
        </w:rPr>
        <w:t>E. 4.2.2</w:t>
      </w:r>
    </w:p>
    <w:p>
      <w:r>
        <w:t>Vorinstanz und Verwaltung gingen zur Bemessung des Invalideneinkommens von DAP-Zahlen aus; für das massgebliche Jahr 2011 legten sie das Einkommen auf Fr. 54'219.- fest. Der Beschwerdeführer erhebt verschiedene Einwände gegen diese Vorgehensweise und verlangt, das Invalideneinkommen sei aufgrund der Zahlen der LSE zu bestimmen. Inwiefern diese Einwände stichhaltig sind, vermag jedoch offenzubleiben, da - wie nachstehende Erwägung zeigt - bei der Bestimmung des Invalideneinkommens nach der LSE-Methode ein höheres Invalideneinkommen und damit ein tieferer Invaliditätsgrad resultieren würde.</w:t>
      </w:r>
    </w:p>
    <w:p>
      <w:r>
        <w:rPr>
          <w:b/>
        </w:rPr>
        <w:t>E. 4.2.3</w:t>
      </w:r>
    </w:p>
    <w:p>
      <w:r>
        <w:t>Auszugehen wäre vom Durchschnittseinkommen für Männer im Anforderungsniveau 4 von Fr. 4'901.- (LSE 2010, Tabelle TA 1, Zeile "Total"). Dieser Wert wäre auf ein Jahr hoch- und auf eine betriebsübliche Arbeitszeit von 41.7 Stunden (vgl. Die Volkswirtschaft 5/2013, S. 94, Tabelle B 9.2) umzurechnen; das sich daraus ergebende Einkommen wäre sodann an die bis zum Jahr 2011 eingetretene Nominallohnentwicklung der Männerlöhne anzupassen (Lohn 2010 x [2171 : 2151]). Wenn überhaupt, so wäre vom Tabellenlohn höchstens ein Abzug im Sinne von BGE 126 V 75 E. 5b/cc S. 80 in der Höhe von 10 % vorzunehmen. Somit ergäbe sich ein Invalideneinkommen von mindestens Fr. 55'693.40 (Fr. 4'901.- x 12 x [41.7 : 40] x [2171 : 2151] x 90 %). Dieser Wert liegt über dem von Vorinstanz und Verwaltung ermittelten Wert von Fr. 54'219.-, womit sich die Bemessung des Invaliditätsgrades aufgrund der Zahlen der DAP zu Gunsten des Beschwerdeführers auswirken.</w:t>
      </w:r>
    </w:p>
    <w:p>
      <w:r>
        <w:rPr>
          <w:b/>
        </w:rPr>
        <w:t>E. 4.3</w:t>
      </w:r>
    </w:p>
    <w:p>
      <w:r>
        <w:t>Es steht fest und ist unbestritten, dass der versicherte Verdienst für die Bemessung der Invalidenrente in Anwendung von Art. 24 Abs. 1 UVV aufgrund des Lohnes zu bestimmen ist, welchen der Versicherte im Jahr vor dem Unfall erzielt hätte, wenn er seine Stelle bei der C.________ AG nicht verloren hätte. Aufgrund der Angaben dieser ehemaligen Arbeitgeberin legten Vorinstanz und Verwaltung diesen auf Fr. 65'780.- fest. Gemäss den Erwägungen der Vorinstanz stimmt dieser Wert auch mit jenem überein, welcher von der Arbeitslosenversicherung als versicherten Verdienst angenommen wurde. Was der Beschwerdeführer dagegen vorbringt, vermag nicht als überwiegend wahrscheinlich erscheinen zu lassen, dass er im Jahr vor dem Unfall ohne Arbeitslosigkeit einen höheren Lohn erzielt hätte. Da das im Individuellen Konto der AHV verzeichnete Einkommen bereits im Jahre 2005 gegenüber dem Vorjahr markant abgenommen hat, erscheint es insbesondere auch als plausibel, dass der Versicherte im Jahr vor dem Unfall etwas weniger verdient hätte, als im letzten vollständigen Jahr 2006.</w:t>
      </w:r>
    </w:p>
    <w:p>
      <w:r>
        <w:rPr>
          <w:b/>
        </w:rPr>
        <w:t>E. 4.4</w:t>
      </w:r>
    </w:p>
    <w:p>
      <w:r>
        <w:t>Sind somit weder Invaliditätsgrad noch versicherter Verdienst zu beanstanden, bestehen Einsprache- und kantonaler Gerichtsentscheid zu Recht; die Beschwerde des Versicherten ist demgemäss abzuweisen.</w:t>
      </w:r>
    </w:p>
    <w:p>
      <w:r>
        <w:rPr>
          <w:b/>
        </w:rPr>
        <w:t>E. 5.1</w:t>
      </w:r>
    </w:p>
    <w:p>
      <w:r>
        <w:t>Dem Ausgang des Verfahrens entsprechend sind die Gerichtskosten dem Beschwerdeführer aufzuerlegen ( Art. 66 Abs. 1 BGG ).</w:t>
      </w:r>
    </w:p>
    <w:p>
      <w:r>
        <w:rPr>
          <w:b/>
        </w:rPr>
        <w:t>E. 5.2</w:t>
      </w:r>
    </w:p>
    <w:p>
      <w:r>
        <w:t>Der Beschwerdeführer stellt ein Gesuch um unentgeltliche Rechtspflege und beantragt, über dieses Gesuch vorab zu entscheiden. Da seiner Vertreterin nach der Gesuchstellung kein weiterer Aufwand entstanden ist, konnte auf einen Vorentscheid über dieses Gesuch verzichtet werden. Materiell ist dem Gesuch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