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8C_122/2020 vom 13. Februar 2020</w:t>
      </w:r>
    </w:p>
    <w:p>
      <w:r>
        <w:t>Bundesgericht, 2020-02-13, DE</w:t>
      </w:r>
    </w:p>
    <w:p>
      <w:r>
        <w:rPr>
          <w:b/>
        </w:rPr>
        <w:t xml:space="preserve">Quelle: </w:t>
      </w:r>
      <w:r>
        <w:t>https://mcp.opencaselaw.ch/entscheid/bger_8C_122_2020</w:t>
      </w:r>
    </w:p>
    <w:p>
      <w:r>
        <w:t>FR: TF 8C_122/2020 du 13 février 2020</w:t>
      </w:r>
    </w:p>
    <w:p>
      <w:r>
        <w:t>IT: TF 8C_122/2020 del 13 febbraio 2020</w:t>
      </w:r>
    </w:p>
    <w:p>
      <w:pPr>
        <w:pStyle w:val="Heading2"/>
      </w:pPr>
      <w:r>
        <w:t>Volltext</w:t>
      </w:r>
    </w:p>
    <w:p>
      <w:r>
        <w:t>Bundesgericht</w:t>
      </w:r>
    </w:p>
    <w:p>
      <w:r>
        <w:t>Tribunal fédéral</w:t>
      </w:r>
    </w:p>
    <w:p>
      <w:r>
        <w:t>Tribunale federale</w:t>
      </w:r>
    </w:p>
    <w:p>
      <w:r>
        <w:t>Tribunal federal</w:t>
      </w:r>
    </w:p>
    <w:p>
      <w:r>
        <w:t>8C_122/2020</w:t>
      </w:r>
    </w:p>
    <w:p>
      <w:r>
        <w:t>Urteil vom 13. Februar 2020</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Kantonsgerichts Luzern</w:t>
      </w:r>
    </w:p>
    <w:p>
      <w:r>
        <w:t>vom 6. Januar 2020 (5V 18 392).</w:t>
      </w:r>
    </w:p>
    <w:p>
      <w:r>
        <w:t>Nach Einsicht</w:t>
      </w:r>
    </w:p>
    <w:p>
      <w:r>
        <w:t>in die Beschwerde vom 7. Februar 2020 gegen den Entscheid des Kantonsgerichts Luzern vom 6.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welche Vorschriften und weshalb sie von der Vorinstanz verletzt worden sind ( BGE 140 III 86 E. 2 S. 88 f.; 134 V 53 E. 3.3 S. 60),</w:t>
      </w:r>
    </w:p>
    <w:p>
      <w:r>
        <w:t>dass das kantonale Gericht eine (weitere) Leistungspflicht der Beschwerdegegnerin im Zusammenhang mit Kribbelparästhesien und mit einer erektilen Dysfunktion verneinte, weil diese nicht (mehr) in einem natürlichen Kausalzusammenhang zum versicherten Unfall vom 21. Juni 2012 stehen würden,</w:t>
      </w:r>
    </w:p>
    <w:p>
      <w:r>
        <w:t>dass es dabei die einzelnen in den Akten liegenden Arztberichte einlässlich würdigte,</w:t>
      </w:r>
    </w:p>
    <w:p>
      <w:r>
        <w:t>dass der Beschwerdeführer zwar einen Antrag stellt (Aufhebung des vorinstanzlichen Entscheids und Weiterausrichtung von Versicherungsleistungen durch die Suva), ohne indessen konkret auf die Erwägungen des kantonalen Gerichts einzugehen, geschweige denn aufzuzeigen, inwiefern die dabei getroffenen Sachverhaltsfeststellungen unzutreffend im Sinne von Art. 97 Abs. 2 BGG und die darauf beruhenden Erwägungen rechtsfehlerhaft sein sollen; lediglich eine Verletzung des rechtlichen Gehörs geltend zu machen, weil ihm die Suva ein persönliches Gespräch mit ihrem Versicherungsarzt verweigert habe, reicht nicht aus, zumal er sich mit den vorinstanzlichen Ausführungen dazu mit keinem Wort auseinandersetzt,</w:t>
      </w:r>
    </w:p>
    <w:p>
      <w:r>
        <w:t>dass der Begründungsmangel offensichtlich ist,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13. Februar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